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 xml:space="preserve">Конкурсный управляющий ООО СК «СМУ 9» Ершова Ольга </w:t>
      </w:r>
      <w:proofErr w:type="spellStart"/>
      <w:r w:rsidRPr="00A8229C">
        <w:rPr>
          <w:b w:val="0"/>
          <w:sz w:val="20"/>
        </w:rPr>
        <w:t>Равиловна</w:t>
      </w:r>
      <w:proofErr w:type="spellEnd"/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 xml:space="preserve">ешения Арбитражного суда Новосибирской области от 15.04.2023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 xml:space="preserve">в лице ______________     _________________, </w:t>
      </w:r>
      <w:proofErr w:type="gramStart"/>
      <w:r w:rsidRPr="00682554">
        <w:t>действующего</w:t>
      </w:r>
      <w:proofErr w:type="gramEnd"/>
      <w:r w:rsidRPr="00682554">
        <w:t xml:space="preserve">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8229C" w:rsidRPr="00A8229C" w:rsidRDefault="00A8229C" w:rsidP="00A8229C">
      <w:pPr>
        <w:jc w:val="both"/>
        <w:rPr>
          <w:rFonts w:ascii="Tahoma" w:hAnsi="Tahoma" w:cs="Tahoma"/>
          <w:color w:val="333333"/>
          <w:sz w:val="12"/>
          <w:szCs w:val="12"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>должник</w:t>
      </w:r>
      <w:proofErr w:type="gramStart"/>
      <w:r w:rsidRPr="00186D59">
        <w:t xml:space="preserve">а </w:t>
      </w:r>
      <w:r>
        <w:t>ООО</w:t>
      </w:r>
      <w:proofErr w:type="gramEnd"/>
      <w:r>
        <w:t xml:space="preserve">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Pr="00682554">
        <w:t>а именно: Лот №1 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113,1 кв. м, подземный этаж № 1, расположенное по адресу: Новосибирская область, г. Новосибирск, ул. Тульская, д. 80, кадастровый номер: 54:35:000000:39417. Начальная цена лота - </w:t>
      </w:r>
      <w:r w:rsidRPr="00A8229C">
        <w:rPr>
          <w:b/>
        </w:rPr>
        <w:t xml:space="preserve">3 280 950,00 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>азмер задатка составляет 10 % н</w:t>
      </w:r>
      <w:r>
        <w:t>ачальной цены продажи имущества</w:t>
      </w:r>
      <w:r w:rsidRPr="00FA356B">
        <w:rPr>
          <w:b/>
        </w:rPr>
        <w:t>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>
        <w:rPr>
          <w:b/>
          <w:color w:val="000000"/>
        </w:rPr>
        <w:t xml:space="preserve"> с 31.07</w:t>
      </w:r>
      <w:r w:rsidRPr="00FA356B">
        <w:rPr>
          <w:b/>
          <w:color w:val="000000"/>
        </w:rPr>
        <w:t>.20</w:t>
      </w:r>
      <w:r>
        <w:rPr>
          <w:b/>
          <w:color w:val="000000"/>
        </w:rPr>
        <w:t>23</w:t>
      </w:r>
      <w:r w:rsidRPr="00FA356B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</w:t>
      </w:r>
      <w:proofErr w:type="gramStart"/>
      <w:r w:rsidRPr="00104EF5">
        <w:rPr>
          <w:b/>
        </w:rPr>
        <w:t>р</w:t>
      </w:r>
      <w:proofErr w:type="gramEnd"/>
      <w:r w:rsidRPr="00104EF5">
        <w:rPr>
          <w:b/>
        </w:rPr>
        <w:t xml:space="preserve">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СОВКОМБАНК, БИК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>/ счёт 30101810445250000360, ИНН БАНКА 4401116480</w:t>
      </w:r>
      <w:r>
        <w:rPr>
          <w:b/>
        </w:rPr>
        <w:t>,</w:t>
      </w:r>
      <w:r w:rsidRPr="00682554">
        <w:rPr>
          <w:b/>
        </w:rPr>
        <w:t xml:space="preserve"> 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 1,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>
            <w:r>
              <w:t>Конкурсный управляющий Ершова О.Р.,</w:t>
            </w:r>
          </w:p>
          <w:p w:rsidR="00A8229C" w:rsidRDefault="00A8229C" w:rsidP="007D4C98">
            <w:proofErr w:type="gramStart"/>
            <w:r>
              <w:t>действующая</w:t>
            </w:r>
            <w:proofErr w:type="gramEnd"/>
            <w:r>
              <w:t xml:space="preserve"> на основании решения от 15.04.2022, определения АС НСО от 07.12.2022 г. по делу № А45-16270/2021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г.Новосибирск,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  <w:proofErr w:type="spellEnd"/>
            <w:r>
              <w:t>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</w:t>
            </w:r>
            <w:proofErr w:type="gramStart"/>
            <w:r w:rsidRPr="00104EF5">
              <w:t>р</w:t>
            </w:r>
            <w:proofErr w:type="gramEnd"/>
            <w:r w:rsidRPr="00104EF5">
              <w:t xml:space="preserve">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</w:t>
            </w:r>
            <w:proofErr w:type="spellStart"/>
            <w:r w:rsidRPr="00104EF5">
              <w:t>кор</w:t>
            </w:r>
            <w:proofErr w:type="spellEnd"/>
            <w:r w:rsidRPr="00104EF5">
              <w:t>/ счёт 30101810445250000360, ИНН БАНКА 4401116480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bookmarkStart w:id="0" w:name="_GoBack"/>
            <w:bookmarkEnd w:id="0"/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7D67C5"/>
    <w:sectPr w:rsidR="00B36EC2" w:rsidSect="00D22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67C5">
      <w:r>
        <w:separator/>
      </w:r>
    </w:p>
  </w:endnote>
  <w:endnote w:type="continuationSeparator" w:id="0">
    <w:p w:rsidR="00000000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7D67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7D67C5">
    <w:pPr>
      <w:pStyle w:val="a5"/>
      <w:framePr w:wrap="around" w:vAnchor="text" w:hAnchor="margin" w:xAlign="right" w:y="1"/>
      <w:rPr>
        <w:rStyle w:val="a7"/>
      </w:rPr>
    </w:pPr>
  </w:p>
  <w:p w:rsidR="00DA3B72" w:rsidRDefault="007D67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67C5">
      <w:r>
        <w:separator/>
      </w:r>
    </w:p>
  </w:footnote>
  <w:footnote w:type="continuationSeparator" w:id="0">
    <w:p w:rsidR="00000000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7D67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67C5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7D67C5">
    <w:pPr>
      <w:pStyle w:val="ac"/>
    </w:pPr>
  </w:p>
  <w:p w:rsidR="00DA3B72" w:rsidRDefault="007D67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29C"/>
    <w:rsid w:val="00084866"/>
    <w:rsid w:val="0016679E"/>
    <w:rsid w:val="0050647E"/>
    <w:rsid w:val="006C52A4"/>
    <w:rsid w:val="007D67C5"/>
    <w:rsid w:val="00A8229C"/>
    <w:rsid w:val="00CA400F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wRKW5x9yCCZjTSuU8+XorOwO1v6q73Ycz2rM7wJlLOM=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e9werl4uWzmvoRtOa1vpfJW71EthmKhvpApP3v/KWOY=</DigestValue>
    </Reference>
  </SignedInfo>
  <SignatureValue>9edIBDoRGYivmjfrJje8nGeLkqvC8TrYKncCBfeoMIL9haf6dj7z+j+L0Hbxarjw
ZsGmjxO9b1tyTC4X/FRjJA==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gBB4m76++Ye69HLWvbmeAHs7R5g=</DigestValue>
      </Reference>
      <Reference URI="/word/document.xml?ContentType=application/vnd.openxmlformats-officedocument.wordprocessingml.document.main+xml">
        <DigestMethod Algorithm="http://www.w3.org/2000/09/xmldsig#sha1"/>
        <DigestValue>CPyFbEWADg/3QQm+lbf7RQQbBN0=</DigestValue>
      </Reference>
      <Reference URI="/word/endnotes.xml?ContentType=application/vnd.openxmlformats-officedocument.wordprocessingml.endnotes+xml">
        <DigestMethod Algorithm="http://www.w3.org/2000/09/xmldsig#sha1"/>
        <DigestValue>P6U3AmeglLQJn9L0uTrbdeGJGqE=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footer1.xml?ContentType=application/vnd.openxmlformats-officedocument.wordprocessingml.footer+xml">
        <DigestMethod Algorithm="http://www.w3.org/2000/09/xmldsig#sha1"/>
        <DigestValue>84Od5x59mHxR26yob+g3srK+0iQ=</DigestValue>
      </Reference>
      <Reference URI="/word/footer2.xml?ContentType=application/vnd.openxmlformats-officedocument.wordprocessingml.footer+xml">
        <DigestMethod Algorithm="http://www.w3.org/2000/09/xmldsig#sha1"/>
        <DigestValue>5yz+lHnHhE/z+gqMDYH+31PPKv4=</DigestValue>
      </Reference>
      <Reference URI="/word/footnotes.xml?ContentType=application/vnd.openxmlformats-officedocument.wordprocessingml.footnotes+xml">
        <DigestMethod Algorithm="http://www.w3.org/2000/09/xmldsig#sha1"/>
        <DigestValue>7HnxnnJ1Ge+s9ktHoDNuaC+repM=</DigestValue>
      </Reference>
      <Reference URI="/word/header1.xml?ContentType=application/vnd.openxmlformats-officedocument.wordprocessingml.header+xml">
        <DigestMethod Algorithm="http://www.w3.org/2000/09/xmldsig#sha1"/>
        <DigestValue>EqbKuRtDpzpJVSLhNOqci7mLO/Y=</DigestValue>
      </Reference>
      <Reference URI="/word/header2.xml?ContentType=application/vnd.openxmlformats-officedocument.wordprocessingml.header+xml">
        <DigestMethod Algorithm="http://www.w3.org/2000/09/xmldsig#sha1"/>
        <DigestValue>6WiOwobjdp8rfAatqHLNtj3AbSk=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5KMg6szofYk63MHL5wh+UslDCv8=</DigestValue>
      </Reference>
      <Reference URI="/word/styles.xml?ContentType=application/vnd.openxmlformats-officedocument.wordprocessingml.styles+xml">
        <DigestMethod Algorithm="http://www.w3.org/2000/09/xmldsig#sha1"/>
        <DigestValue>72+lGC8kJ9QJR2S2rTqLCRvzaAI=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rgHNlaUjEN7Lhl1rCi4kAV7dbqk=</DigestValue>
      </Reference>
    </Manifest>
    <SignatureProperties>
      <SignatureProperty Id="idSignatureTime" Target="#idPackageSignature">
        <mdssi:SignatureTime>
          <mdssi:Format>YYYY-MM-DDThh:mm:ssTZD</mdssi:Format>
          <mdssi:Value>2023-06-30T03:23:28Z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2023-06-30T03:23:28Z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Женя</cp:lastModifiedBy>
  <cp:revision>3</cp:revision>
  <dcterms:created xsi:type="dcterms:W3CDTF">2023-06-29T11:27:00Z</dcterms:created>
  <dcterms:modified xsi:type="dcterms:W3CDTF">2023-06-30T03:21:00Z</dcterms:modified>
</cp:coreProperties>
</file>