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9A1192"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3812FD">
        <w:rPr>
          <w:b/>
        </w:rPr>
        <w:t>а</w:t>
      </w:r>
      <w:r>
        <w:rPr>
          <w:b/>
        </w:rPr>
        <w:t xml:space="preserve"> недвижимости, принадлежащ</w:t>
      </w:r>
      <w:r w:rsidR="003812FD">
        <w:rPr>
          <w:b/>
        </w:rPr>
        <w:t xml:space="preserve">его </w:t>
      </w:r>
      <w:r>
        <w:rPr>
          <w:b/>
        </w:rPr>
        <w:t xml:space="preserve">на праве собственности ПАО Сбербанк </w:t>
      </w:r>
    </w:p>
    <w:p w14:paraId="00000002" w14:textId="77777777" w:rsidR="00283CFC" w:rsidRDefault="00283CFC">
      <w:pPr>
        <w:ind w:firstLine="567"/>
        <w:jc w:val="center"/>
        <w:rPr>
          <w:b/>
        </w:rPr>
      </w:pPr>
    </w:p>
    <w:p w14:paraId="00000004" w14:textId="290D6EEB" w:rsidR="00283CFC" w:rsidRDefault="003313B7" w:rsidP="00E66803">
      <w:pPr>
        <w:ind w:firstLine="567"/>
        <w:jc w:val="center"/>
        <w:rPr>
          <w:b/>
        </w:rPr>
      </w:pPr>
      <w:r>
        <w:rPr>
          <w:b/>
        </w:rPr>
        <w:t xml:space="preserve">Электронный аукцион будет проводиться </w:t>
      </w:r>
      <w:r w:rsidR="00CD4826">
        <w:rPr>
          <w:b/>
          <w:color w:val="0070C0"/>
        </w:rPr>
        <w:t>10 августа</w:t>
      </w:r>
      <w:r w:rsidR="00663454">
        <w:rPr>
          <w:b/>
          <w:color w:val="0070C0"/>
        </w:rPr>
        <w:t xml:space="preserve"> </w:t>
      </w:r>
      <w:r w:rsidRPr="008862B6">
        <w:rPr>
          <w:b/>
          <w:color w:val="0070C0"/>
        </w:rPr>
        <w:t>202</w:t>
      </w:r>
      <w:r w:rsidR="007475F4">
        <w:rPr>
          <w:b/>
          <w:color w:val="0070C0"/>
        </w:rPr>
        <w:t>3</w:t>
      </w:r>
      <w:r w:rsidRPr="008862B6">
        <w:rPr>
          <w:b/>
          <w:color w:val="0070C0"/>
        </w:rPr>
        <w:t xml:space="preserve"> </w:t>
      </w:r>
      <w:r>
        <w:rPr>
          <w:b/>
        </w:rPr>
        <w:t xml:space="preserve">года в </w:t>
      </w:r>
      <w:r w:rsidRPr="00996E61">
        <w:rPr>
          <w:b/>
          <w:color w:val="0070C0"/>
        </w:rPr>
        <w:t>0</w:t>
      </w:r>
      <w:r w:rsidR="00E66803">
        <w:rPr>
          <w:b/>
          <w:color w:val="0070C0"/>
        </w:rPr>
        <w:t>9</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42B0BE9B" w:rsidR="00283CFC" w:rsidRDefault="003313B7">
      <w:pPr>
        <w:jc w:val="center"/>
        <w:rPr>
          <w:b/>
        </w:rPr>
      </w:pPr>
      <w:r>
        <w:rPr>
          <w:b/>
        </w:rPr>
        <w:t xml:space="preserve">Прием заявок с </w:t>
      </w:r>
      <w:r w:rsidR="00375F68">
        <w:rPr>
          <w:b/>
          <w:color w:val="0070C0"/>
        </w:rPr>
        <w:t>06 июля</w:t>
      </w:r>
      <w:r w:rsidR="00D56EF7">
        <w:rPr>
          <w:b/>
          <w:color w:val="0070C0"/>
        </w:rPr>
        <w:t xml:space="preserve"> </w:t>
      </w:r>
      <w:r w:rsidRPr="008862B6">
        <w:rPr>
          <w:b/>
          <w:color w:val="0070C0"/>
        </w:rPr>
        <w:t>202</w:t>
      </w:r>
      <w:r w:rsidR="00E75A97">
        <w:rPr>
          <w:b/>
          <w:color w:val="0070C0"/>
        </w:rPr>
        <w:t>3</w:t>
      </w:r>
      <w:r w:rsidRPr="008862B6">
        <w:rPr>
          <w:b/>
          <w:color w:val="0070C0"/>
        </w:rPr>
        <w:t xml:space="preserve"> </w:t>
      </w:r>
      <w:r>
        <w:rPr>
          <w:b/>
        </w:rPr>
        <w:t xml:space="preserve">г. </w:t>
      </w:r>
      <w:r w:rsidRPr="00EB4E8A">
        <w:rPr>
          <w:b/>
          <w:color w:val="0070C0"/>
        </w:rPr>
        <w:t xml:space="preserve">00:00 </w:t>
      </w:r>
      <w:r>
        <w:rPr>
          <w:b/>
        </w:rPr>
        <w:t>по</w:t>
      </w:r>
      <w:bookmarkStart w:id="0" w:name="_Hlk75943990"/>
      <w:r w:rsidR="002B0A09">
        <w:rPr>
          <w:b/>
        </w:rPr>
        <w:t xml:space="preserve"> </w:t>
      </w:r>
      <w:r w:rsidR="00375F68">
        <w:rPr>
          <w:b/>
          <w:color w:val="0070C0"/>
        </w:rPr>
        <w:t>07 августа</w:t>
      </w:r>
      <w:r w:rsidRPr="008862B6">
        <w:rPr>
          <w:b/>
          <w:color w:val="0070C0"/>
        </w:rPr>
        <w:t xml:space="preserve"> 202</w:t>
      </w:r>
      <w:r w:rsidR="007475F4">
        <w:rPr>
          <w:b/>
          <w:color w:val="0070C0"/>
        </w:rPr>
        <w:t>3</w:t>
      </w:r>
      <w:r w:rsidRPr="008862B6">
        <w:rPr>
          <w:b/>
          <w:color w:val="0070C0"/>
        </w:rPr>
        <w:t xml:space="preserve"> </w:t>
      </w:r>
      <w:bookmarkEnd w:id="0"/>
      <w:r>
        <w:rPr>
          <w:b/>
        </w:rPr>
        <w:t xml:space="preserve">г. до </w:t>
      </w:r>
      <w:r w:rsidRPr="00996E61">
        <w:rPr>
          <w:b/>
          <w:color w:val="0070C0"/>
        </w:rPr>
        <w:t>0</w:t>
      </w:r>
      <w:r w:rsidR="00E66803">
        <w:rPr>
          <w:b/>
          <w:color w:val="0070C0"/>
        </w:rPr>
        <w:t>8</w:t>
      </w:r>
      <w:r w:rsidRPr="00996E61">
        <w:rPr>
          <w:b/>
          <w:color w:val="0070C0"/>
        </w:rPr>
        <w:t>:00</w:t>
      </w:r>
      <w:r>
        <w:rPr>
          <w:b/>
        </w:rPr>
        <w:t>.</w:t>
      </w:r>
    </w:p>
    <w:p w14:paraId="00000008" w14:textId="2B8CF7C8"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Pr="00996E61">
        <w:rPr>
          <w:b/>
          <w:color w:val="0070C0"/>
        </w:rPr>
        <w:t>0</w:t>
      </w:r>
      <w:r w:rsidR="00E66803">
        <w:rPr>
          <w:b/>
          <w:color w:val="0070C0"/>
        </w:rPr>
        <w:t>8</w:t>
      </w:r>
      <w:r w:rsidRPr="00996E61">
        <w:rPr>
          <w:b/>
          <w:color w:val="0070C0"/>
        </w:rPr>
        <w:t xml:space="preserve">:00 </w:t>
      </w:r>
      <w:r w:rsidR="00375F68">
        <w:rPr>
          <w:b/>
          <w:color w:val="0070C0"/>
        </w:rPr>
        <w:t>07 августа</w:t>
      </w:r>
      <w:r w:rsidR="00663454" w:rsidRPr="008862B6">
        <w:rPr>
          <w:b/>
          <w:color w:val="0070C0"/>
        </w:rPr>
        <w:t xml:space="preserve"> </w:t>
      </w:r>
      <w:r w:rsidR="002B0A09" w:rsidRPr="008862B6">
        <w:rPr>
          <w:b/>
          <w:color w:val="0070C0"/>
        </w:rPr>
        <w:t>202</w:t>
      </w:r>
      <w:r w:rsidR="007475F4">
        <w:rPr>
          <w:b/>
          <w:color w:val="0070C0"/>
        </w:rPr>
        <w:t>3</w:t>
      </w:r>
      <w:r w:rsidR="002B0A09" w:rsidRPr="008862B6">
        <w:rPr>
          <w:b/>
          <w:color w:val="0070C0"/>
        </w:rPr>
        <w:t xml:space="preserve"> </w:t>
      </w:r>
      <w:r>
        <w:rPr>
          <w:b/>
        </w:rPr>
        <w:t>г.</w:t>
      </w:r>
    </w:p>
    <w:p w14:paraId="00000009" w14:textId="77777777" w:rsidR="00283CFC" w:rsidRDefault="00283CFC">
      <w:pPr>
        <w:ind w:firstLine="567"/>
        <w:jc w:val="both"/>
        <w:rPr>
          <w:b/>
        </w:rPr>
      </w:pPr>
    </w:p>
    <w:p w14:paraId="0000000A" w14:textId="477144C9"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DC3967">
        <w:rPr>
          <w:b/>
          <w:color w:val="0070C0"/>
        </w:rPr>
        <w:t>18</w:t>
      </w:r>
      <w:r w:rsidRPr="00E66803">
        <w:rPr>
          <w:b/>
          <w:color w:val="0070C0"/>
        </w:rPr>
        <w:t>:00</w:t>
      </w:r>
      <w:r w:rsidR="00A444A4" w:rsidRPr="00E66803">
        <w:rPr>
          <w:b/>
          <w:color w:val="0070C0"/>
        </w:rPr>
        <w:t xml:space="preserve"> </w:t>
      </w:r>
      <w:r w:rsidR="00375F68">
        <w:rPr>
          <w:b/>
          <w:color w:val="0070C0"/>
        </w:rPr>
        <w:t>09 августа</w:t>
      </w:r>
      <w:r w:rsidR="00D56EF7">
        <w:rPr>
          <w:b/>
          <w:color w:val="0070C0"/>
        </w:rPr>
        <w:t xml:space="preserve"> 202</w:t>
      </w:r>
      <w:r w:rsidR="007475F4">
        <w:rPr>
          <w:b/>
          <w:color w:val="0070C0"/>
        </w:rPr>
        <w:t>3</w:t>
      </w:r>
      <w:r w:rsidR="002B0A09" w:rsidRPr="008862B6">
        <w:rPr>
          <w:b/>
          <w:color w:val="0070C0"/>
        </w:rPr>
        <w:t xml:space="preserve"> </w:t>
      </w:r>
      <w:r>
        <w:rPr>
          <w:b/>
        </w:rPr>
        <w:t>года.</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3CD87B3B" w:rsidR="00996E61" w:rsidRPr="00965010"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t>8 (812) 777-57-57, доб 516</w:t>
      </w:r>
      <w:r w:rsidRPr="00DE7CB9">
        <w:t xml:space="preserve">. Контактное лицо </w:t>
      </w:r>
      <w:r>
        <w:t>Генералова Елена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0814FF" w:rsidRPr="00340036">
          <w:rPr>
            <w:rStyle w:val="af2"/>
            <w:lang w:val="en-US"/>
          </w:rPr>
          <w:t>dv</w:t>
        </w:r>
        <w:r w:rsidR="000814FF" w:rsidRPr="00340036">
          <w:rPr>
            <w:rStyle w:val="af2"/>
          </w:rPr>
          <w:t>@auction-house.ru</w:t>
        </w:r>
      </w:hyperlink>
    </w:p>
    <w:p w14:paraId="57FC4E83" w14:textId="77777777" w:rsidR="000814FF" w:rsidRDefault="000814FF" w:rsidP="00996E61">
      <w:pPr>
        <w:ind w:firstLine="720"/>
        <w:jc w:val="both"/>
      </w:pPr>
    </w:p>
    <w:bookmarkEnd w:id="2"/>
    <w:p w14:paraId="02DC918A" w14:textId="77777777" w:rsidR="003812FD" w:rsidRPr="00F1395D" w:rsidRDefault="003812FD" w:rsidP="003812FD">
      <w:pPr>
        <w:ind w:firstLine="720"/>
        <w:jc w:val="both"/>
        <w:rPr>
          <w:b/>
          <w:color w:val="0070C0"/>
        </w:rPr>
      </w:pPr>
      <w:r w:rsidRPr="00F1395D">
        <w:rPr>
          <w:b/>
          <w:color w:val="0070C0"/>
        </w:rPr>
        <w:t>Лот №1:</w:t>
      </w:r>
    </w:p>
    <w:p w14:paraId="62C8193F" w14:textId="77777777" w:rsidR="003812FD" w:rsidRDefault="003812FD" w:rsidP="003812FD">
      <w:pPr>
        <w:ind w:firstLine="567"/>
        <w:jc w:val="both"/>
        <w:rPr>
          <w:b/>
        </w:rPr>
      </w:pPr>
      <w:r>
        <w:rPr>
          <w:b/>
        </w:rPr>
        <w:t>Нежилые помещения общей площадью 2 112,4 кв. м. по адресу: Камчатский край, г. Петропавловск-Камчатский, ул. Набережная, д. 30,</w:t>
      </w:r>
      <w:r>
        <w:t xml:space="preserve"> кадастровый номер 41:01:0010122:900, принадлежащие ПАО Сбербанк на праве собственности, что подтверждается записью регистрации в Едином государственном реестре прав на недвижимое имущество и сделок с ним № 41-41-01/015/2008-670 от 4 июля 2008г, в том числе:</w:t>
      </w:r>
    </w:p>
    <w:p w14:paraId="317D75FC" w14:textId="77777777" w:rsidR="003812FD" w:rsidRDefault="003812FD" w:rsidP="003812FD">
      <w:pPr>
        <w:pBdr>
          <w:top w:val="nil"/>
          <w:left w:val="nil"/>
          <w:bottom w:val="nil"/>
          <w:right w:val="nil"/>
          <w:between w:val="nil"/>
        </w:pBdr>
        <w:ind w:right="-57"/>
        <w:jc w:val="both"/>
        <w:rPr>
          <w:color w:val="000000"/>
        </w:rPr>
      </w:pPr>
      <w:r>
        <w:rPr>
          <w:color w:val="000000"/>
        </w:rPr>
        <w:t xml:space="preserve">- помещения 4-го этажа площадью 1047,7 кв. м., </w:t>
      </w:r>
    </w:p>
    <w:p w14:paraId="352404D6" w14:textId="77777777" w:rsidR="003812FD" w:rsidRDefault="003812FD" w:rsidP="003812FD">
      <w:pPr>
        <w:pBdr>
          <w:top w:val="nil"/>
          <w:left w:val="nil"/>
          <w:bottom w:val="nil"/>
          <w:right w:val="nil"/>
          <w:between w:val="nil"/>
        </w:pBdr>
        <w:ind w:right="-57"/>
        <w:jc w:val="both"/>
        <w:rPr>
          <w:color w:val="000000"/>
        </w:rPr>
      </w:pPr>
      <w:r>
        <w:rPr>
          <w:color w:val="000000"/>
        </w:rPr>
        <w:t xml:space="preserve">- помещения 5-го этажа площадью 1064,7 кв. м., </w:t>
      </w:r>
    </w:p>
    <w:p w14:paraId="41DA59BD" w14:textId="77777777" w:rsidR="003812FD" w:rsidRDefault="003812FD" w:rsidP="003812FD">
      <w:pPr>
        <w:ind w:right="-57" w:firstLine="567"/>
        <w:jc w:val="both"/>
      </w:pPr>
      <w:r>
        <w:rPr>
          <w:b/>
        </w:rPr>
        <w:t>ВАЖНО:</w:t>
      </w:r>
      <w:r>
        <w:t xml:space="preserve"> помещения четвертого и пятого этажей на кадастровом учете не состоят. Подлежащие продаже части нежилого здания указаны на поэтажном плане, приложенном к описанию Лота. В срок не позднее 3-х месяцев после проведения аукциона либо признания аукциона не состоявшимся по причине допуска только одного участника,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 подтверждающую регистрацию права собственности в качестве самостоятельного объекта недвижимости прошедшего кадастровый учет.</w:t>
      </w:r>
    </w:p>
    <w:p w14:paraId="70B172E3" w14:textId="77777777" w:rsidR="003812FD" w:rsidRDefault="003812FD" w:rsidP="003812FD">
      <w:pPr>
        <w:ind w:right="-57" w:firstLine="567"/>
        <w:jc w:val="both"/>
      </w:pPr>
      <w:r>
        <w:t>Договор купли-продажи заключается между Собственником и Победителем аукциона, в течение 10 (Десяти) рабочих дней после оформления права собственности на Объект.</w:t>
      </w:r>
    </w:p>
    <w:p w14:paraId="62915663" w14:textId="77777777" w:rsidR="003812FD" w:rsidRDefault="003812FD" w:rsidP="003812FD">
      <w:pPr>
        <w:ind w:firstLine="567"/>
        <w:jc w:val="both"/>
      </w:pPr>
      <w: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10 (десяти) рабочих дней, после оформления права собственности на Объект.</w:t>
      </w:r>
    </w:p>
    <w:p w14:paraId="7CAC11C4" w14:textId="77777777" w:rsidR="003812FD" w:rsidRDefault="003812FD" w:rsidP="003812FD">
      <w:pPr>
        <w:ind w:firstLine="567"/>
        <w:jc w:val="both"/>
      </w:pPr>
    </w:p>
    <w:p w14:paraId="70328B6E" w14:textId="20F3C274" w:rsidR="003812FD" w:rsidRDefault="003812FD" w:rsidP="003812FD">
      <w:pPr>
        <w:widowControl w:val="0"/>
        <w:pBdr>
          <w:top w:val="nil"/>
          <w:left w:val="nil"/>
          <w:bottom w:val="nil"/>
          <w:right w:val="nil"/>
          <w:between w:val="nil"/>
        </w:pBdr>
        <w:tabs>
          <w:tab w:val="left" w:pos="851"/>
          <w:tab w:val="left" w:pos="993"/>
        </w:tabs>
        <w:jc w:val="both"/>
        <w:rPr>
          <w:color w:val="000000"/>
        </w:rPr>
      </w:pPr>
      <w:r>
        <w:rPr>
          <w:b/>
          <w:color w:val="000000"/>
        </w:rPr>
        <w:t xml:space="preserve">Начальная цена: </w:t>
      </w:r>
      <w:r w:rsidRPr="00F1395D">
        <w:rPr>
          <w:b/>
          <w:color w:val="0070C0"/>
        </w:rPr>
        <w:t>94 723 729</w:t>
      </w:r>
      <w:r w:rsidRPr="00F1395D">
        <w:rPr>
          <w:color w:val="0070C0"/>
        </w:rPr>
        <w:t xml:space="preserve"> </w:t>
      </w:r>
      <w:r>
        <w:rPr>
          <w:color w:val="000000"/>
        </w:rPr>
        <w:t>(</w:t>
      </w:r>
      <w:r w:rsidR="00B9445D">
        <w:rPr>
          <w:color w:val="000000"/>
        </w:rPr>
        <w:t>Д</w:t>
      </w:r>
      <w:r>
        <w:rPr>
          <w:color w:val="000000"/>
        </w:rPr>
        <w:t xml:space="preserve">евяносто четыре миллиона семьсот двадцать три тысячи семьсот двадцать девять) </w:t>
      </w:r>
      <w:r w:rsidRPr="00F1395D">
        <w:rPr>
          <w:b/>
          <w:color w:val="0070C0"/>
        </w:rPr>
        <w:t>руб. 00 коп.</w:t>
      </w:r>
      <w:r w:rsidR="003D1D3A">
        <w:rPr>
          <w:color w:val="0070C0"/>
        </w:rPr>
        <w:t xml:space="preserve">, </w:t>
      </w:r>
      <w:r>
        <w:rPr>
          <w:color w:val="000000"/>
        </w:rPr>
        <w:t>в том числе НДС</w:t>
      </w:r>
      <w:r w:rsidR="00B9445D">
        <w:rPr>
          <w:color w:val="000000"/>
        </w:rPr>
        <w:t xml:space="preserve"> 20%</w:t>
      </w:r>
      <w:r>
        <w:rPr>
          <w:color w:val="000000"/>
        </w:rPr>
        <w:t>.</w:t>
      </w:r>
    </w:p>
    <w:p w14:paraId="5E1BE548" w14:textId="229FF0C0" w:rsidR="003812FD" w:rsidRDefault="003812FD" w:rsidP="003812FD">
      <w:pPr>
        <w:widowControl w:val="0"/>
        <w:jc w:val="both"/>
        <w:rPr>
          <w:b/>
        </w:rPr>
      </w:pPr>
      <w:r>
        <w:rPr>
          <w:b/>
        </w:rPr>
        <w:t xml:space="preserve">Сумма задатка: </w:t>
      </w:r>
      <w:r w:rsidRPr="00F1395D">
        <w:rPr>
          <w:b/>
          <w:color w:val="0070C0"/>
        </w:rPr>
        <w:t>2 500 000</w:t>
      </w:r>
      <w:r>
        <w:rPr>
          <w:b/>
        </w:rPr>
        <w:t xml:space="preserve"> </w:t>
      </w:r>
      <w:r>
        <w:t>(</w:t>
      </w:r>
      <w:r w:rsidR="00B9445D">
        <w:t>Д</w:t>
      </w:r>
      <w:r>
        <w:t>ва миллиона пятьсот тысяч)</w:t>
      </w:r>
      <w:r>
        <w:rPr>
          <w:b/>
        </w:rPr>
        <w:t xml:space="preserve"> </w:t>
      </w:r>
      <w:r w:rsidRPr="00F1395D">
        <w:rPr>
          <w:b/>
          <w:color w:val="0070C0"/>
        </w:rPr>
        <w:t>руб. 00 коп.</w:t>
      </w:r>
    </w:p>
    <w:p w14:paraId="6F37F1C4" w14:textId="4E31BE45" w:rsidR="003812FD" w:rsidRDefault="003812FD" w:rsidP="003812FD">
      <w:pPr>
        <w:widowControl w:val="0"/>
        <w:jc w:val="both"/>
        <w:rPr>
          <w:b/>
        </w:rPr>
      </w:pPr>
      <w:r>
        <w:rPr>
          <w:b/>
        </w:rPr>
        <w:t xml:space="preserve">Шаг аукциона: </w:t>
      </w:r>
      <w:r w:rsidRPr="00F1395D">
        <w:rPr>
          <w:b/>
          <w:color w:val="0070C0"/>
        </w:rPr>
        <w:t xml:space="preserve">200 000 </w:t>
      </w:r>
      <w:r>
        <w:t>(</w:t>
      </w:r>
      <w:r w:rsidR="00B9445D">
        <w:t>Д</w:t>
      </w:r>
      <w:r>
        <w:t xml:space="preserve">вести тысяч) </w:t>
      </w:r>
      <w:r w:rsidRPr="00F1395D">
        <w:rPr>
          <w:b/>
          <w:color w:val="0070C0"/>
        </w:rPr>
        <w:t>руб. 00 коп.</w:t>
      </w:r>
    </w:p>
    <w:p w14:paraId="0000002C" w14:textId="77777777" w:rsidR="00283CFC" w:rsidRDefault="00283CFC">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1933CE00" w14:textId="77777777" w:rsidR="00DC3967" w:rsidRPr="00224DEE" w:rsidRDefault="00DC3967" w:rsidP="00DC3967">
      <w:pPr>
        <w:ind w:firstLine="567"/>
        <w:jc w:val="both"/>
        <w:rPr>
          <w:bCs/>
        </w:rPr>
      </w:pPr>
      <w:r w:rsidRPr="00224DEE">
        <w:rPr>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w:t>
      </w:r>
      <w:r w:rsidRPr="00224DEE">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224DEE">
        <w:rPr>
          <w:bCs/>
        </w:rPr>
        <w:t xml:space="preserve">, размещенном на </w:t>
      </w:r>
      <w:r w:rsidRPr="00224DEE">
        <w:t xml:space="preserve">сайте </w:t>
      </w:r>
      <w:hyperlink r:id="rId10" w:history="1">
        <w:r w:rsidRPr="00224DEE">
          <w:rPr>
            <w:u w:val="single"/>
            <w:lang w:val="en-US"/>
          </w:rPr>
          <w:t>www</w:t>
        </w:r>
        <w:r w:rsidRPr="00224DEE">
          <w:rPr>
            <w:u w:val="single"/>
          </w:rPr>
          <w:t>.</w:t>
        </w:r>
        <w:r w:rsidRPr="00224DEE">
          <w:rPr>
            <w:u w:val="single"/>
            <w:lang w:val="en-US"/>
          </w:rPr>
          <w:t>lot</w:t>
        </w:r>
        <w:r w:rsidRPr="00224DEE">
          <w:rPr>
            <w:u w:val="single"/>
          </w:rPr>
          <w:t>-</w:t>
        </w:r>
        <w:r w:rsidRPr="00224DEE">
          <w:rPr>
            <w:u w:val="single"/>
            <w:lang w:val="en-US"/>
          </w:rPr>
          <w:t>online</w:t>
        </w:r>
        <w:r w:rsidRPr="00224DEE">
          <w:rPr>
            <w:u w:val="single"/>
          </w:rPr>
          <w:t>.</w:t>
        </w:r>
        <w:r w:rsidRPr="00224DEE">
          <w:rPr>
            <w:u w:val="single"/>
            <w:lang w:val="en-US"/>
          </w:rPr>
          <w:t>ru</w:t>
        </w:r>
      </w:hyperlink>
      <w:r w:rsidRPr="00224DEE">
        <w:rPr>
          <w:u w:val="single"/>
        </w:rPr>
        <w:t xml:space="preserve"> (</w:t>
      </w:r>
      <w:hyperlink r:id="rId11" w:history="1">
        <w:r w:rsidRPr="00224DEE">
          <w:rPr>
            <w:rStyle w:val="af2"/>
          </w:rPr>
          <w:t>https://catalog.lot-online.ru/images/docs/regulations/reglament_prod.pdf?_t=1666941793</w:t>
        </w:r>
      </w:hyperlink>
      <w:r w:rsidRPr="00224DEE">
        <w:rPr>
          <w:u w:val="single"/>
        </w:rPr>
        <w:t>)</w:t>
      </w:r>
      <w:r w:rsidRPr="00224DEE">
        <w:t>.</w:t>
      </w:r>
    </w:p>
    <w:p w14:paraId="0000002F" w14:textId="77777777" w:rsidR="00283CFC" w:rsidRDefault="00283CFC">
      <w:pPr>
        <w:ind w:firstLine="720"/>
        <w:jc w:val="both"/>
      </w:pP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15FFF109" w:rsidR="00BA1B10" w:rsidRPr="00641D64" w:rsidRDefault="00BA1B10" w:rsidP="00BA1B10">
      <w:pPr>
        <w:jc w:val="both"/>
      </w:pPr>
      <w:r w:rsidRPr="00641D64">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641D64">
        <w:rPr>
          <w:rStyle w:val="ad"/>
        </w:rPr>
        <w:footnoteReference w:id="1"/>
      </w:r>
      <w:r w:rsidRPr="00641D64">
        <w:t xml:space="preserve">,  утвержденным Постановлением  Правительства РФ </w:t>
      </w:r>
      <w:r w:rsidRPr="00641D64">
        <w:lastRenderedPageBreak/>
        <w:t xml:space="preserve">от 11.05.2022 № 851 «О мерах по реализации Указа Президента Российской  Федерации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3B0F3C5E" w:rsidR="00BA1B10" w:rsidRPr="00641D64" w:rsidRDefault="00BA1B10" w:rsidP="00BA1B10">
      <w:pPr>
        <w:ind w:firstLine="567"/>
        <w:jc w:val="both"/>
      </w:pPr>
      <w:r w:rsidRPr="00641D64">
        <w:t>-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 xml:space="preserve">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w:t>
      </w:r>
      <w:r w:rsidRPr="00641D64">
        <w:lastRenderedPageBreak/>
        <w:t>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77777777" w:rsidR="00BA1B10" w:rsidRPr="00641D64" w:rsidRDefault="00BA1B10" w:rsidP="00641D64">
      <w:pPr>
        <w:numPr>
          <w:ilvl w:val="0"/>
          <w:numId w:val="2"/>
        </w:numPr>
        <w:ind w:left="567" w:hanging="567"/>
        <w:jc w:val="both"/>
      </w:pPr>
      <w:r w:rsidRPr="00641D64">
        <w:t>заполненную  анкету    по  установленной  форме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директора(-ов);</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(good standing)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5075EFE4"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highlight w:val="lightGray"/>
          <w:u w:val="single"/>
        </w:rPr>
        <w:t xml:space="preserve">не позднее </w:t>
      </w:r>
      <w:r w:rsidR="00375F68">
        <w:rPr>
          <w:rFonts w:ascii="Times New Roman" w:hAnsi="Times New Roman" w:cs="Times New Roman"/>
          <w:b/>
          <w:bCs/>
          <w:color w:val="4472C4"/>
          <w:highlight w:val="lightGray"/>
          <w:u w:val="single"/>
        </w:rPr>
        <w:t>07 августа</w:t>
      </w:r>
      <w:r w:rsidR="003C7810">
        <w:rPr>
          <w:rFonts w:ascii="Times New Roman" w:hAnsi="Times New Roman" w:cs="Times New Roman"/>
          <w:b/>
          <w:bCs/>
          <w:color w:val="4472C4"/>
          <w:highlight w:val="lightGray"/>
          <w:u w:val="single"/>
        </w:rPr>
        <w:t xml:space="preserve"> </w:t>
      </w:r>
      <w:r w:rsidR="00DC3967">
        <w:rPr>
          <w:rFonts w:ascii="Times New Roman" w:hAnsi="Times New Roman" w:cs="Times New Roman"/>
          <w:b/>
          <w:bCs/>
          <w:color w:val="4472C4"/>
          <w:highlight w:val="lightGray"/>
          <w:u w:val="single"/>
        </w:rPr>
        <w:t>2023</w:t>
      </w:r>
      <w:r w:rsidRPr="00EA6B25">
        <w:rPr>
          <w:rFonts w:ascii="Times New Roman" w:hAnsi="Times New Roman" w:cs="Times New Roman"/>
          <w:b/>
          <w:bCs/>
          <w:color w:val="4472C4"/>
          <w:highlight w:val="lightGray"/>
          <w:u w:val="single"/>
        </w:rPr>
        <w:t xml:space="preserve"> г. до 08.00</w:t>
      </w:r>
      <w:r w:rsidRPr="00EA6B25">
        <w:rPr>
          <w:rFonts w:ascii="Times New Roman" w:hAnsi="Times New Roman" w:cs="Times New Roman"/>
          <w:b/>
          <w:bCs/>
          <w:color w:val="auto"/>
          <w:highlight w:val="lightGray"/>
          <w:u w:val="single"/>
        </w:rPr>
        <w:t xml:space="preserve"> МСК</w:t>
      </w:r>
      <w:r w:rsidRPr="00EA6B25">
        <w:rPr>
          <w:rFonts w:ascii="Times New Roman" w:hAnsi="Times New Roman" w:cs="Times New Roman"/>
          <w:b/>
          <w:bCs/>
          <w:color w:val="auto"/>
          <w:highlight w:val="lightGray"/>
        </w:rPr>
        <w:t>. Задаток считается внесенным с даты поступления всей суммы Задатка на указанный счет.</w:t>
      </w:r>
    </w:p>
    <w:p w14:paraId="58EA8CE3" w14:textId="77777777"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lastRenderedPageBreak/>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EA6B25" w:rsidRDefault="000F4E9D" w:rsidP="000F4E9D">
      <w:pPr>
        <w:ind w:right="72" w:firstLine="567"/>
        <w:jc w:val="both"/>
        <w:rPr>
          <w:highlight w:val="lightGray"/>
        </w:rPr>
      </w:pPr>
      <w:r w:rsidRPr="00EA6B25">
        <w:rPr>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A6B25">
          <w:rPr>
            <w:color w:val="0000FF"/>
            <w:highlight w:val="lightGray"/>
            <w:u w:val="single"/>
            <w:lang w:val="en-US"/>
          </w:rPr>
          <w:t>www</w:t>
        </w:r>
        <w:r w:rsidRPr="00EA6B25">
          <w:rPr>
            <w:color w:val="0000FF"/>
            <w:highlight w:val="lightGray"/>
            <w:u w:val="single"/>
          </w:rPr>
          <w:t>.</w:t>
        </w:r>
        <w:r w:rsidRPr="00EA6B25">
          <w:rPr>
            <w:color w:val="0000FF"/>
            <w:highlight w:val="lightGray"/>
            <w:u w:val="single"/>
            <w:lang w:val="en-US"/>
          </w:rPr>
          <w:t>lot</w:t>
        </w:r>
        <w:r w:rsidRPr="00EA6B25">
          <w:rPr>
            <w:color w:val="0000FF"/>
            <w:highlight w:val="lightGray"/>
            <w:u w:val="single"/>
          </w:rPr>
          <w:t>-</w:t>
        </w:r>
        <w:r w:rsidRPr="00EA6B25">
          <w:rPr>
            <w:color w:val="0000FF"/>
            <w:highlight w:val="lightGray"/>
            <w:u w:val="single"/>
            <w:lang w:val="en-US"/>
          </w:rPr>
          <w:t>online</w:t>
        </w:r>
        <w:r w:rsidRPr="00EA6B25">
          <w:rPr>
            <w:color w:val="0000FF"/>
            <w:highlight w:val="lightGray"/>
            <w:u w:val="single"/>
          </w:rPr>
          <w:t>.</w:t>
        </w:r>
        <w:r w:rsidRPr="00EA6B25">
          <w:rPr>
            <w:color w:val="0000FF"/>
            <w:highlight w:val="lightGray"/>
            <w:u w:val="single"/>
            <w:lang w:val="en-US"/>
          </w:rPr>
          <w:t>ru</w:t>
        </w:r>
      </w:hyperlink>
      <w:r w:rsidRPr="00EA6B25">
        <w:rPr>
          <w:highlight w:val="lightGray"/>
        </w:rPr>
        <w:t xml:space="preserve"> в разделе «карточка лота». </w:t>
      </w:r>
    </w:p>
    <w:p w14:paraId="5E9F881C" w14:textId="77777777" w:rsidR="000F4E9D" w:rsidRPr="00EA6B25" w:rsidRDefault="000F4E9D" w:rsidP="000F4E9D">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EA6B25" w:rsidRDefault="000F4E9D" w:rsidP="000F4E9D">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34BA1C8" w14:textId="77777777" w:rsidR="000F4E9D" w:rsidRPr="00EA6B25" w:rsidRDefault="000F4E9D" w:rsidP="000F4E9D">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EA6B25" w:rsidRDefault="000F4E9D" w:rsidP="000F4E9D">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437DBF44" w:rsidR="000F4E9D" w:rsidRDefault="000F4E9D" w:rsidP="000F4E9D">
      <w:pPr>
        <w:ind w:firstLine="567"/>
        <w:jc w:val="both"/>
      </w:pPr>
      <w:r w:rsidRPr="00EA6B25">
        <w:rPr>
          <w:highlight w:val="lightGray"/>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Pr>
          <w:highlight w:val="lightGray"/>
        </w:rPr>
        <w:t xml:space="preserve"> (далее – Регламент)</w:t>
      </w:r>
      <w:r w:rsidRPr="00EA6B25">
        <w:rPr>
          <w:highlight w:val="lightGray"/>
        </w:rPr>
        <w:t xml:space="preserve"> (</w:t>
      </w:r>
      <w:hyperlink r:id="rId14" w:history="1">
        <w:r w:rsidR="007475F4" w:rsidRPr="00501FFD">
          <w:rPr>
            <w:rStyle w:val="af2"/>
            <w:highlight w:val="lightGray"/>
          </w:rPr>
          <w:t>https://catalog.lot-online.ru/images/docs/regulations/reglament_zadatok_bkr.pdf?_t=1658847783</w:t>
        </w:r>
      </w:hyperlink>
      <w:r w:rsidRPr="00EA6B25">
        <w:rPr>
          <w:highlight w:val="lightGray"/>
        </w:rPr>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47F37998"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375F68">
        <w:rPr>
          <w:b/>
          <w:color w:val="0070C0"/>
          <w:u w:val="single"/>
        </w:rPr>
        <w:t>06 июля</w:t>
      </w:r>
      <w:r w:rsidR="00E66803">
        <w:rPr>
          <w:b/>
          <w:color w:val="0070C0"/>
          <w:u w:val="single"/>
        </w:rPr>
        <w:t xml:space="preserve"> </w:t>
      </w:r>
      <w:r w:rsidRPr="008862B6">
        <w:rPr>
          <w:b/>
          <w:color w:val="0070C0"/>
          <w:u w:val="single"/>
        </w:rPr>
        <w:t>202</w:t>
      </w:r>
      <w:r w:rsidR="00E75A97">
        <w:rPr>
          <w:b/>
          <w:color w:val="0070C0"/>
          <w:u w:val="single"/>
        </w:rPr>
        <w:t>3</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lastRenderedPageBreak/>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734AD804"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72858BC9" w14:textId="7CA3E754" w:rsidR="003215C1" w:rsidRDefault="003215C1">
      <w:pPr>
        <w:ind w:firstLine="567"/>
        <w:jc w:val="both"/>
      </w:pPr>
      <w:r w:rsidRPr="003215C1">
        <w:t>При поступлении предложения(й) по цене в течении одного часа с момента начала предоставления предложений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744D2D58"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000088" w14:textId="77777777" w:rsidR="00283CFC" w:rsidRDefault="003313B7">
      <w:pPr>
        <w:ind w:firstLine="709"/>
        <w:jc w:val="both"/>
      </w:pPr>
      <w: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9" w14:textId="77777777" w:rsidR="00283CFC" w:rsidRDefault="00283CFC">
      <w:pPr>
        <w:jc w:val="both"/>
      </w:pPr>
    </w:p>
    <w:p w14:paraId="3F8C4480" w14:textId="77777777" w:rsidR="003812FD" w:rsidRDefault="003812FD" w:rsidP="003812FD">
      <w:pPr>
        <w:widowControl w:val="0"/>
        <w:pBdr>
          <w:top w:val="nil"/>
          <w:left w:val="nil"/>
          <w:bottom w:val="nil"/>
          <w:right w:val="nil"/>
          <w:between w:val="nil"/>
        </w:pBdr>
        <w:tabs>
          <w:tab w:val="right" w:pos="4762"/>
        </w:tabs>
        <w:ind w:right="-5" w:firstLine="567"/>
        <w:jc w:val="both"/>
        <w:rPr>
          <w:b/>
          <w:color w:val="000000"/>
        </w:rPr>
      </w:pPr>
      <w:r>
        <w:rPr>
          <w:b/>
          <w:color w:val="000000"/>
        </w:rPr>
        <w:t xml:space="preserve">Договор купли-продажи заключается между ПАО Сбербанк и победителем аукциона в течение 10 (десяти) рабочих дней после подведения итогов аукциона/постановки объекта на кадастровый учет в соответствии с формой, согласованной между ПАО Сбербанк и АО «Российский аукционный дом». </w:t>
      </w:r>
    </w:p>
    <w:p w14:paraId="032CC303" w14:textId="77777777" w:rsidR="003812FD" w:rsidRDefault="003812FD" w:rsidP="003812FD">
      <w:pPr>
        <w:ind w:firstLine="567"/>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10 (десяти) рабочих дней, с даты признания аукциона несостоявшимся/ постановки объекта на кадастровый учет.</w:t>
      </w:r>
    </w:p>
    <w:p w14:paraId="6741FBC4" w14:textId="4710F679" w:rsidR="003812FD" w:rsidRDefault="003812FD" w:rsidP="003812FD">
      <w:pPr>
        <w:ind w:firstLine="567"/>
        <w:jc w:val="both"/>
        <w:rPr>
          <w:b/>
        </w:rPr>
      </w:pPr>
      <w:r>
        <w:rPr>
          <w:b/>
        </w:rPr>
        <w:t>Оплата оставшейся части цены Объекта по Договору купли-продажи осуществляется Покупателем в полном объеме в течение 15 (пятнадцати) рабочих дней с даты заключения Договора</w:t>
      </w:r>
      <w:r w:rsidR="00CC0426">
        <w:rPr>
          <w:b/>
        </w:rPr>
        <w:t>, е</w:t>
      </w:r>
      <w:r>
        <w:rPr>
          <w:b/>
        </w:rPr>
        <w:t>сли иное не указано в описании лота/проекте договора купли-продажи.</w:t>
      </w:r>
    </w:p>
    <w:p w14:paraId="69647874" w14:textId="45011B7A" w:rsidR="003812FD" w:rsidRPr="00D56EF7" w:rsidRDefault="003812FD" w:rsidP="003812FD">
      <w:pPr>
        <w:ind w:firstLine="709"/>
        <w:jc w:val="both"/>
        <w:rPr>
          <w:b/>
          <w:bCs/>
        </w:rPr>
      </w:pPr>
      <w:r w:rsidRPr="00D56EF7">
        <w:rPr>
          <w:b/>
          <w:bCs/>
        </w:rPr>
        <w:t xml:space="preserve">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w:t>
      </w:r>
      <w:r w:rsidR="00AD4ABA" w:rsidRPr="00D56EF7">
        <w:rPr>
          <w:b/>
          <w:bCs/>
        </w:rPr>
        <w:t>итогам торгов</w:t>
      </w:r>
      <w:r w:rsidRPr="00D56EF7">
        <w:rPr>
          <w:b/>
          <w:bCs/>
        </w:rPr>
        <w:t>), указанным выше условиям.</w:t>
      </w:r>
    </w:p>
    <w:p w14:paraId="4E6DDA59" w14:textId="586950D9" w:rsidR="003812FD" w:rsidRPr="00D56EF7" w:rsidRDefault="003812FD" w:rsidP="003812FD">
      <w:pPr>
        <w:ind w:firstLine="709"/>
        <w:jc w:val="both"/>
        <w:rPr>
          <w:sz w:val="28"/>
          <w:szCs w:val="28"/>
        </w:rPr>
      </w:pPr>
      <w:r w:rsidRPr="00D56EF7">
        <w:rPr>
          <w:b/>
          <w:bCs/>
        </w:rPr>
        <w:t xml:space="preserve">Риски, связанные с отказом Собственника от заключения договора по итогам торгов с учетом </w:t>
      </w:r>
      <w:r w:rsidR="00AD4ABA" w:rsidRPr="00D56EF7">
        <w:rPr>
          <w:b/>
          <w:bCs/>
        </w:rPr>
        <w:t>указанных положений, несёт</w:t>
      </w:r>
      <w:r w:rsidRPr="00D56EF7">
        <w:rPr>
          <w:b/>
          <w:bCs/>
        </w:rPr>
        <w:t xml:space="preserve"> победитель (лицо, имеющее право на заключение договора по итогам торгов).</w:t>
      </w:r>
    </w:p>
    <w:p w14:paraId="675E6ADC" w14:textId="77777777" w:rsidR="003812FD" w:rsidRDefault="003812FD" w:rsidP="003812FD">
      <w:pPr>
        <w:ind w:firstLine="567"/>
        <w:jc w:val="both"/>
        <w:rPr>
          <w:b/>
        </w:rPr>
      </w:pPr>
    </w:p>
    <w:p w14:paraId="38D6DA9D" w14:textId="77777777" w:rsidR="006E01E4" w:rsidRDefault="006E01E4">
      <w:pPr>
        <w:ind w:firstLine="567"/>
        <w:jc w:val="both"/>
        <w:rPr>
          <w:b/>
        </w:rPr>
      </w:pPr>
    </w:p>
    <w:p w14:paraId="7745417C" w14:textId="77777777" w:rsidR="00F27D20" w:rsidRDefault="00F27D20"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lastRenderedPageBreak/>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ФИО/    наименование Госучастника</w:t>
            </w:r>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Госучастника</w:t>
            </w:r>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регистрации)*</w:t>
            </w:r>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lastRenderedPageBreak/>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 xml:space="preserve">ФЛ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40AD5A5F" w14:textId="77777777" w:rsidR="00BA1B10" w:rsidRPr="00BA1B10" w:rsidRDefault="00BA1B10" w:rsidP="00BA1B10">
      <w:pPr>
        <w:jc w:val="center"/>
        <w:rPr>
          <w:b/>
          <w:bCs/>
          <w:sz w:val="22"/>
          <w:szCs w:val="22"/>
          <w:u w:val="single"/>
          <w:lang w:eastAsia="en-US"/>
        </w:rPr>
      </w:pPr>
    </w:p>
    <w:p w14:paraId="5570D3F7" w14:textId="77777777" w:rsidR="00BA1B10" w:rsidRPr="00BA1B10" w:rsidRDefault="00BA1B10" w:rsidP="00BA1B10">
      <w:pPr>
        <w:jc w:val="center"/>
        <w:rPr>
          <w:b/>
          <w:bCs/>
          <w:sz w:val="22"/>
          <w:szCs w:val="22"/>
          <w:u w:val="single"/>
          <w:lang w:eastAsia="en-US"/>
        </w:rPr>
      </w:pPr>
    </w:p>
    <w:p w14:paraId="64808252" w14:textId="77777777" w:rsidR="00BA1B10" w:rsidRPr="00BA1B10" w:rsidRDefault="00BA1B10" w:rsidP="00BA1B10">
      <w:pPr>
        <w:jc w:val="center"/>
        <w:rPr>
          <w:b/>
          <w:bCs/>
          <w:sz w:val="22"/>
          <w:szCs w:val="22"/>
          <w:u w:val="single"/>
          <w:lang w:eastAsia="en-US"/>
        </w:rPr>
      </w:pPr>
    </w:p>
    <w:p w14:paraId="31146A98"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BA1B10">
      <w:pPr>
        <w:jc w:val="cente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Вы  лицом,  указанным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в  собственности признаются    лицо  доля участия (прямого или косвенного) которого  или в </w:t>
            </w:r>
            <w:r w:rsidRPr="00BA1B10">
              <w:rPr>
                <w:rFonts w:ascii="Times New Roman" w:eastAsia="Times New Roman" w:hAnsi="Times New Roman" w:cs="Times New Roman"/>
              </w:rPr>
              <w:lastRenderedPageBreak/>
              <w:t xml:space="preserve">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lastRenderedPageBreak/>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BA1B10">
      <w:pPr>
        <w:spacing w:after="160" w:line="259" w:lineRule="auto"/>
        <w:jc w:val="center"/>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D372" w14:textId="77777777" w:rsidR="003E316D" w:rsidRDefault="003E316D" w:rsidP="00183809">
      <w:r>
        <w:separator/>
      </w:r>
    </w:p>
  </w:endnote>
  <w:endnote w:type="continuationSeparator" w:id="0">
    <w:p w14:paraId="2EBDE2B3" w14:textId="77777777" w:rsidR="003E316D" w:rsidRDefault="003E316D"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6C77" w14:textId="77777777" w:rsidR="003E316D" w:rsidRDefault="003E316D" w:rsidP="00183809">
      <w:r>
        <w:separator/>
      </w:r>
    </w:p>
  </w:footnote>
  <w:footnote w:type="continuationSeparator" w:id="0">
    <w:p w14:paraId="04BF61DA" w14:textId="77777777" w:rsidR="003E316D" w:rsidRDefault="003E316D"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Физические  и юридические  лица,  поименованными непосредственно  в   Перечне, а   также организации,</w:t>
      </w:r>
    </w:p>
    <w:p w14:paraId="62DE5310" w14:textId="77777777" w:rsidR="00BA1B10" w:rsidRDefault="00BA1B10" w:rsidP="00BA1B10">
      <w:pPr>
        <w:pStyle w:val="ab"/>
        <w:jc w:val="both"/>
        <w:rPr>
          <w:i/>
          <w:iCs/>
        </w:rPr>
      </w:pPr>
      <w:r>
        <w:rPr>
          <w:i/>
          <w:iCs/>
        </w:rPr>
        <w:t xml:space="preserve">находящиеся  в их собственности  или под их контролем (далее – Субъекты  санкций РФ) </w:t>
      </w:r>
    </w:p>
    <w:p w14:paraId="062584B4" w14:textId="77777777" w:rsidR="00BA1B10" w:rsidRDefault="00BA1B10" w:rsidP="00BA1B10">
      <w:pPr>
        <w:pStyle w:val="ab"/>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Г</w:t>
      </w:r>
      <w:r w:rsidRPr="00F2710D">
        <w:t>осучастником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Госучастника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3"/>
  </w:num>
  <w:num w:numId="3" w16cid:durableId="1066759948">
    <w:abstractNumId w:val="1"/>
  </w:num>
  <w:num w:numId="4" w16cid:durableId="2136169769">
    <w:abstractNumId w:val="2"/>
  </w:num>
  <w:num w:numId="5" w16cid:durableId="426386197">
    <w:abstractNumId w:val="5"/>
  </w:num>
  <w:num w:numId="6" w16cid:durableId="1239365014">
    <w:abstractNumId w:val="4"/>
  </w:num>
  <w:num w:numId="7" w16cid:durableId="745348805">
    <w:abstractNumId w:val="7"/>
  </w:num>
  <w:num w:numId="8" w16cid:durableId="915211373">
    <w:abstractNumId w:val="8"/>
  </w:num>
  <w:num w:numId="9" w16cid:durableId="413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571EC"/>
    <w:rsid w:val="00061379"/>
    <w:rsid w:val="000613AE"/>
    <w:rsid w:val="00063FB0"/>
    <w:rsid w:val="000747B7"/>
    <w:rsid w:val="000814FF"/>
    <w:rsid w:val="00087D69"/>
    <w:rsid w:val="000A065F"/>
    <w:rsid w:val="000F4E9D"/>
    <w:rsid w:val="00170516"/>
    <w:rsid w:val="00183809"/>
    <w:rsid w:val="00283CFC"/>
    <w:rsid w:val="002B0A09"/>
    <w:rsid w:val="00305EB4"/>
    <w:rsid w:val="00316BA5"/>
    <w:rsid w:val="003215C1"/>
    <w:rsid w:val="003313B7"/>
    <w:rsid w:val="00375F68"/>
    <w:rsid w:val="003812FD"/>
    <w:rsid w:val="003C7810"/>
    <w:rsid w:val="003D1D3A"/>
    <w:rsid w:val="003D2DB7"/>
    <w:rsid w:val="003E316D"/>
    <w:rsid w:val="004232B4"/>
    <w:rsid w:val="004828B9"/>
    <w:rsid w:val="00564BD7"/>
    <w:rsid w:val="00631324"/>
    <w:rsid w:val="00641D64"/>
    <w:rsid w:val="00663454"/>
    <w:rsid w:val="006949EF"/>
    <w:rsid w:val="006A1949"/>
    <w:rsid w:val="006B7FDC"/>
    <w:rsid w:val="006C0283"/>
    <w:rsid w:val="006E01E4"/>
    <w:rsid w:val="00722772"/>
    <w:rsid w:val="007475F4"/>
    <w:rsid w:val="007D701D"/>
    <w:rsid w:val="008446B9"/>
    <w:rsid w:val="00846C16"/>
    <w:rsid w:val="008553DE"/>
    <w:rsid w:val="008862B6"/>
    <w:rsid w:val="008A1B1C"/>
    <w:rsid w:val="008D2602"/>
    <w:rsid w:val="00907F3C"/>
    <w:rsid w:val="00941A9B"/>
    <w:rsid w:val="00965010"/>
    <w:rsid w:val="00996E61"/>
    <w:rsid w:val="009D025E"/>
    <w:rsid w:val="009D5415"/>
    <w:rsid w:val="00A00018"/>
    <w:rsid w:val="00A35321"/>
    <w:rsid w:val="00A444A4"/>
    <w:rsid w:val="00AD4ABA"/>
    <w:rsid w:val="00B57FED"/>
    <w:rsid w:val="00B9445D"/>
    <w:rsid w:val="00BA1B10"/>
    <w:rsid w:val="00BE6746"/>
    <w:rsid w:val="00BF5A1A"/>
    <w:rsid w:val="00C30CE6"/>
    <w:rsid w:val="00C57F4D"/>
    <w:rsid w:val="00C645B3"/>
    <w:rsid w:val="00C96C52"/>
    <w:rsid w:val="00CC0426"/>
    <w:rsid w:val="00CD4826"/>
    <w:rsid w:val="00D0777C"/>
    <w:rsid w:val="00D230FA"/>
    <w:rsid w:val="00D30FAE"/>
    <w:rsid w:val="00D56EF7"/>
    <w:rsid w:val="00D73EEE"/>
    <w:rsid w:val="00DC3967"/>
    <w:rsid w:val="00DD22AB"/>
    <w:rsid w:val="00DF3CF7"/>
    <w:rsid w:val="00E022F8"/>
    <w:rsid w:val="00E66803"/>
    <w:rsid w:val="00E75740"/>
    <w:rsid w:val="00E75A97"/>
    <w:rsid w:val="00EB4E8A"/>
    <w:rsid w:val="00F06251"/>
    <w:rsid w:val="00F166ED"/>
    <w:rsid w:val="00F27D20"/>
    <w:rsid w:val="00F44A5F"/>
    <w:rsid w:val="00FC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52"/>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13</Pages>
  <Words>4934</Words>
  <Characters>28127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Генералова Елена Сергеевна</cp:lastModifiedBy>
  <cp:revision>43</cp:revision>
  <cp:lastPrinted>2023-05-26T00:26:00Z</cp:lastPrinted>
  <dcterms:created xsi:type="dcterms:W3CDTF">2021-04-20T04:32:00Z</dcterms:created>
  <dcterms:modified xsi:type="dcterms:W3CDTF">2023-07-04T04:13:00Z</dcterms:modified>
</cp:coreProperties>
</file>