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25.05.2023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Каткова Ульяна Николаевна (07.09.1994г.р., место рожд: гор. Каменка Пензенской обл., адрес рег: 442151, Пензенская обл, Нижнеломовский р-н, Нижний Ломов г, Пушкина ул, дом № 17, СНИЛС16429119369, ИНН 580202488498, паспорт РФ серия 5614, номер 219655, выдан 01.10.2014, кем выдан Отделением УФМС России по Пензенской области в Каменском районе, код подразделения 580-005),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Пензенской области от 31.01.2023г. по делу №А49-10928/2022,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04.07.2023г. по продаже имущества Катковой Ульяны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РЕНО ЛОГАН, модель: SR, VIN: X7LLSRAAH8H170549, год изготовления: 2008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04.07.2023г.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Каткова Ульяна Николаевна (07.09.1994г.р., место рожд: гор. Каменка Пензенской обл., адрес рег: 442151, Пензенская обл, Нижнеломовский р-н, Нижний Ломов г, Пушкина ул, дом № 17, СНИЛС16429119369, ИНН 580202488498, паспорт РФ серия 5614, номер 219655, выдан 01.10.2014, кем выдан Отделением УФМС России по Пензенской области в Каменском районе, код подразделения 580-005)</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Катковой Ульяны Николаевны</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