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0926" w14:textId="77777777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2C9B03EE" w14:textId="614E40E3" w:rsidR="007C7D00" w:rsidRDefault="001E23A4" w:rsidP="00CD010A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7C7D00">
        <w:rPr>
          <w:b/>
          <w:bCs/>
        </w:rPr>
        <w:t>производственного комплекса «М</w:t>
      </w:r>
      <w:r w:rsidR="007C7D00" w:rsidRPr="007C7D00">
        <w:rPr>
          <w:b/>
          <w:bCs/>
        </w:rPr>
        <w:t>алогабаритная бензино-дизельная установка БДУ-2К в п. Сивыс-Ях</w:t>
      </w:r>
      <w:r w:rsidR="007C7D00">
        <w:rPr>
          <w:b/>
          <w:bCs/>
        </w:rPr>
        <w:t>»</w:t>
      </w:r>
      <w:r w:rsidR="00CD010A">
        <w:rPr>
          <w:b/>
          <w:bCs/>
        </w:rPr>
        <w:t xml:space="preserve">, </w:t>
      </w:r>
    </w:p>
    <w:p w14:paraId="337D4A7B" w14:textId="5348D833" w:rsidR="0055677E" w:rsidRPr="00E93BDF" w:rsidRDefault="001E23A4" w:rsidP="00CD010A">
      <w:pPr>
        <w:jc w:val="center"/>
        <w:rPr>
          <w:b/>
          <w:bCs/>
        </w:rPr>
      </w:pPr>
      <w:r w:rsidRPr="00E93BDF">
        <w:rPr>
          <w:b/>
          <w:bCs/>
        </w:rPr>
        <w:t>принадлежащ</w:t>
      </w:r>
      <w:r w:rsidR="007C7D00">
        <w:rPr>
          <w:b/>
          <w:bCs/>
        </w:rPr>
        <w:t>его</w:t>
      </w:r>
      <w:r w:rsidRPr="00E93BDF">
        <w:rPr>
          <w:b/>
          <w:bCs/>
        </w:rPr>
        <w:t xml:space="preserve"> </w:t>
      </w:r>
      <w:r w:rsidR="000D35BC">
        <w:rPr>
          <w:b/>
          <w:bCs/>
        </w:rPr>
        <w:t>частному лицу</w:t>
      </w:r>
    </w:p>
    <w:p w14:paraId="6EE00148" w14:textId="14BB9C91" w:rsidR="00B81009" w:rsidRPr="00D3330B" w:rsidRDefault="00531827" w:rsidP="00362841">
      <w:pPr>
        <w:jc w:val="center"/>
        <w:outlineLvl w:val="0"/>
        <w:rPr>
          <w:bCs/>
        </w:rPr>
      </w:pPr>
      <w:r>
        <w:rPr>
          <w:b/>
          <w:bCs/>
        </w:rPr>
        <w:t>2</w:t>
      </w:r>
      <w:r w:rsidR="007C7D00">
        <w:rPr>
          <w:b/>
          <w:bCs/>
        </w:rPr>
        <w:t>0</w:t>
      </w:r>
      <w:r w:rsidR="003A1AF1" w:rsidRPr="00D3330B">
        <w:rPr>
          <w:b/>
          <w:bCs/>
        </w:rPr>
        <w:t xml:space="preserve"> </w:t>
      </w:r>
      <w:r w:rsidR="007C7D00">
        <w:rPr>
          <w:b/>
          <w:bCs/>
        </w:rPr>
        <w:t>сентября</w:t>
      </w:r>
      <w:r w:rsidR="007C52FB" w:rsidRPr="00D3330B">
        <w:rPr>
          <w:b/>
          <w:bCs/>
        </w:rPr>
        <w:t xml:space="preserve"> </w:t>
      </w:r>
      <w:r w:rsidR="00362841" w:rsidRPr="00D3330B">
        <w:rPr>
          <w:b/>
          <w:bCs/>
        </w:rPr>
        <w:t>20</w:t>
      </w:r>
      <w:r w:rsidR="000D3D96" w:rsidRPr="00D3330B">
        <w:rPr>
          <w:b/>
          <w:bCs/>
        </w:rPr>
        <w:t>2</w:t>
      </w:r>
      <w:r w:rsidR="00CD010A">
        <w:rPr>
          <w:b/>
          <w:bCs/>
        </w:rPr>
        <w:t>3</w:t>
      </w:r>
      <w:r w:rsidR="00362841" w:rsidRPr="00D3330B">
        <w:rPr>
          <w:b/>
          <w:bCs/>
        </w:rPr>
        <w:t xml:space="preserve"> года в 08:00 ч. </w:t>
      </w:r>
      <w:r w:rsidR="00B81009" w:rsidRPr="00D3330B">
        <w:rPr>
          <w:bCs/>
        </w:rPr>
        <w:t xml:space="preserve"> </w:t>
      </w:r>
    </w:p>
    <w:p w14:paraId="229E15AD" w14:textId="77777777" w:rsidR="00573FA0" w:rsidRPr="00D3330B" w:rsidRDefault="00573FA0" w:rsidP="00573FA0">
      <w:pPr>
        <w:jc w:val="center"/>
        <w:rPr>
          <w:b/>
          <w:bCs/>
        </w:rPr>
      </w:pPr>
    </w:p>
    <w:p w14:paraId="25B264B1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по адресу </w:t>
      </w:r>
      <w:hyperlink r:id="rId8" w:history="1">
        <w:r w:rsidRPr="00D3330B">
          <w:rPr>
            <w:rStyle w:val="af4"/>
            <w:b/>
            <w:bCs/>
            <w:lang w:val="en-US"/>
          </w:rPr>
          <w:t>www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lot</w:t>
        </w:r>
        <w:r w:rsidRPr="00D3330B">
          <w:rPr>
            <w:rStyle w:val="af4"/>
            <w:b/>
            <w:bCs/>
          </w:rPr>
          <w:t>-</w:t>
        </w:r>
        <w:r w:rsidRPr="00D3330B">
          <w:rPr>
            <w:rStyle w:val="af4"/>
            <w:b/>
            <w:bCs/>
            <w:lang w:val="en-US"/>
          </w:rPr>
          <w:t>online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ru</w:t>
        </w:r>
      </w:hyperlink>
      <w:r w:rsidRPr="00D3330B">
        <w:rPr>
          <w:b/>
          <w:bCs/>
        </w:rPr>
        <w:t xml:space="preserve">. </w:t>
      </w:r>
    </w:p>
    <w:p w14:paraId="36C45A70" w14:textId="77777777" w:rsidR="00573FA0" w:rsidRPr="00D3330B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D3330B" w:rsidRDefault="00573FA0" w:rsidP="00573FA0">
      <w:pPr>
        <w:jc w:val="center"/>
        <w:rPr>
          <w:b/>
        </w:rPr>
      </w:pPr>
      <w:r w:rsidRPr="00D3330B">
        <w:rPr>
          <w:b/>
          <w:bCs/>
        </w:rPr>
        <w:t>Организатор торгов –</w:t>
      </w:r>
      <w:r w:rsidR="000D35BC">
        <w:t xml:space="preserve"> </w:t>
      </w:r>
      <w:r w:rsidRPr="00D3330B">
        <w:rPr>
          <w:bCs/>
        </w:rPr>
        <w:t>АО</w:t>
      </w:r>
      <w:r w:rsidR="00E073C6" w:rsidRPr="00D3330B">
        <w:rPr>
          <w:bCs/>
        </w:rPr>
        <w:t> </w:t>
      </w:r>
      <w:r w:rsidRPr="00D3330B">
        <w:rPr>
          <w:bCs/>
        </w:rPr>
        <w:t xml:space="preserve">«Российский аукционный дом» </w:t>
      </w:r>
    </w:p>
    <w:p w14:paraId="2150BEB0" w14:textId="3A55DBBA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Прием заявок с </w:t>
      </w:r>
      <w:r w:rsidR="00531827">
        <w:rPr>
          <w:b/>
          <w:bCs/>
        </w:rPr>
        <w:t>1</w:t>
      </w:r>
      <w:r w:rsidR="007C7D00">
        <w:rPr>
          <w:b/>
          <w:bCs/>
        </w:rPr>
        <w:t>7</w:t>
      </w:r>
      <w:r w:rsidRPr="00D3330B">
        <w:rPr>
          <w:b/>
          <w:bCs/>
        </w:rPr>
        <w:t>.</w:t>
      </w:r>
      <w:r w:rsidR="002A3D03">
        <w:rPr>
          <w:b/>
          <w:bCs/>
        </w:rPr>
        <w:t>0</w:t>
      </w:r>
      <w:r w:rsidR="00531827">
        <w:rPr>
          <w:b/>
          <w:bCs/>
        </w:rPr>
        <w:t>7</w:t>
      </w:r>
      <w:r w:rsidRPr="00D3330B">
        <w:rPr>
          <w:b/>
          <w:bCs/>
        </w:rPr>
        <w:t>.20</w:t>
      </w:r>
      <w:r w:rsidR="007E1C9C" w:rsidRPr="00D3330B">
        <w:rPr>
          <w:b/>
          <w:bCs/>
        </w:rPr>
        <w:t>2</w:t>
      </w:r>
      <w:r w:rsidR="002A3D03">
        <w:rPr>
          <w:b/>
          <w:bCs/>
        </w:rPr>
        <w:t>3</w:t>
      </w:r>
      <w:r w:rsidRPr="00D3330B">
        <w:rPr>
          <w:b/>
          <w:bCs/>
        </w:rPr>
        <w:t> г.</w:t>
      </w:r>
      <w:r w:rsidR="00284E26" w:rsidRPr="00D3330B">
        <w:rPr>
          <w:b/>
          <w:bCs/>
        </w:rPr>
        <w:t xml:space="preserve"> </w:t>
      </w:r>
      <w:r w:rsidR="003A1AF1" w:rsidRPr="00D3330B">
        <w:rPr>
          <w:b/>
          <w:bCs/>
        </w:rPr>
        <w:t>09</w:t>
      </w:r>
      <w:r w:rsidR="00284E26" w:rsidRPr="00D3330B">
        <w:rPr>
          <w:b/>
          <w:bCs/>
        </w:rPr>
        <w:t>:00 ч.</w:t>
      </w:r>
      <w:r w:rsidRPr="00D3330B">
        <w:rPr>
          <w:b/>
          <w:bCs/>
        </w:rPr>
        <w:t xml:space="preserve"> по </w:t>
      </w:r>
      <w:r w:rsidR="007C7D00">
        <w:rPr>
          <w:b/>
          <w:bCs/>
        </w:rPr>
        <w:t>18</w:t>
      </w:r>
      <w:r w:rsidRPr="00D3330B">
        <w:rPr>
          <w:b/>
          <w:bCs/>
        </w:rPr>
        <w:t>.</w:t>
      </w:r>
      <w:r w:rsidR="00CD010A">
        <w:rPr>
          <w:b/>
          <w:bCs/>
        </w:rPr>
        <w:t>0</w:t>
      </w:r>
      <w:r w:rsidR="007C7D00">
        <w:rPr>
          <w:b/>
          <w:bCs/>
        </w:rPr>
        <w:t>9</w:t>
      </w:r>
      <w:r w:rsidR="00CD010A">
        <w:rPr>
          <w:b/>
          <w:bCs/>
        </w:rPr>
        <w:t>.</w:t>
      </w:r>
      <w:r w:rsidR="007322F9" w:rsidRPr="00D3330B">
        <w:rPr>
          <w:b/>
          <w:bCs/>
        </w:rPr>
        <w:t>202</w:t>
      </w:r>
      <w:r w:rsidR="00CD010A">
        <w:rPr>
          <w:b/>
          <w:bCs/>
        </w:rPr>
        <w:t>3</w:t>
      </w:r>
      <w:r w:rsidRPr="00D3330B">
        <w:rPr>
          <w:b/>
          <w:bCs/>
        </w:rPr>
        <w:t xml:space="preserve"> г. до </w:t>
      </w:r>
      <w:r w:rsidR="00CD010A">
        <w:rPr>
          <w:b/>
          <w:bCs/>
        </w:rPr>
        <w:t>23</w:t>
      </w:r>
      <w:r w:rsidRPr="00D3330B">
        <w:rPr>
          <w:b/>
          <w:bCs/>
        </w:rPr>
        <w:t>:</w:t>
      </w:r>
      <w:r w:rsidR="00CD010A">
        <w:rPr>
          <w:b/>
          <w:bCs/>
        </w:rPr>
        <w:t xml:space="preserve">59 </w:t>
      </w:r>
      <w:r w:rsidRPr="00D3330B">
        <w:rPr>
          <w:b/>
          <w:bCs/>
        </w:rPr>
        <w:t xml:space="preserve">ч. </w:t>
      </w:r>
      <w:r w:rsidRPr="00D3330B">
        <w:rPr>
          <w:bCs/>
        </w:rPr>
        <w:t xml:space="preserve"> </w:t>
      </w:r>
    </w:p>
    <w:p w14:paraId="31B02268" w14:textId="77777777" w:rsidR="00362841" w:rsidRPr="00D3330B" w:rsidRDefault="00362841" w:rsidP="00362841">
      <w:pPr>
        <w:jc w:val="center"/>
        <w:rPr>
          <w:b/>
          <w:bCs/>
        </w:rPr>
      </w:pPr>
    </w:p>
    <w:p w14:paraId="4D24B9A9" w14:textId="77777777" w:rsidR="00362841" w:rsidRPr="00D3330B" w:rsidRDefault="00362841" w:rsidP="00362841">
      <w:pPr>
        <w:jc w:val="center"/>
        <w:outlineLvl w:val="0"/>
        <w:rPr>
          <w:b/>
          <w:bCs/>
        </w:rPr>
      </w:pPr>
      <w:r w:rsidRPr="00D3330B">
        <w:rPr>
          <w:b/>
          <w:bCs/>
        </w:rPr>
        <w:t xml:space="preserve">Задаток должен поступить на счет Организатора торгов </w:t>
      </w:r>
    </w:p>
    <w:p w14:paraId="14F365FC" w14:textId="648E6620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не позднее </w:t>
      </w:r>
      <w:r w:rsidR="007C7D00">
        <w:rPr>
          <w:b/>
          <w:bCs/>
        </w:rPr>
        <w:t>18</w:t>
      </w:r>
      <w:r w:rsidR="007E1C9C" w:rsidRPr="00D3330B">
        <w:rPr>
          <w:b/>
          <w:bCs/>
        </w:rPr>
        <w:t>.</w:t>
      </w:r>
      <w:r w:rsidR="00CD010A">
        <w:rPr>
          <w:b/>
          <w:bCs/>
        </w:rPr>
        <w:t>0</w:t>
      </w:r>
      <w:r w:rsidR="007C7D00">
        <w:rPr>
          <w:b/>
          <w:bCs/>
        </w:rPr>
        <w:t>9</w:t>
      </w:r>
      <w:r w:rsidR="007E1C9C" w:rsidRPr="00D3330B">
        <w:rPr>
          <w:b/>
          <w:bCs/>
        </w:rPr>
        <w:t>.</w:t>
      </w:r>
      <w:r w:rsidRPr="00D3330B">
        <w:rPr>
          <w:b/>
          <w:bCs/>
        </w:rPr>
        <w:t>20</w:t>
      </w:r>
      <w:r w:rsidR="007322F9" w:rsidRPr="00D3330B">
        <w:rPr>
          <w:b/>
          <w:bCs/>
        </w:rPr>
        <w:t>2</w:t>
      </w:r>
      <w:r w:rsidR="00CD010A">
        <w:rPr>
          <w:b/>
          <w:bCs/>
        </w:rPr>
        <w:t>3</w:t>
      </w:r>
      <w:r w:rsidRPr="00D3330B">
        <w:rPr>
          <w:b/>
          <w:bCs/>
        </w:rPr>
        <w:t xml:space="preserve"> г. до </w:t>
      </w:r>
      <w:r w:rsidR="00E86F9B" w:rsidRPr="00D3330B">
        <w:rPr>
          <w:b/>
          <w:bCs/>
        </w:rPr>
        <w:t>23</w:t>
      </w:r>
      <w:r w:rsidRPr="00D3330B">
        <w:rPr>
          <w:b/>
          <w:bCs/>
        </w:rPr>
        <w:t>:</w:t>
      </w:r>
      <w:r w:rsidR="00E86F9B" w:rsidRPr="00D3330B">
        <w:rPr>
          <w:b/>
          <w:bCs/>
        </w:rPr>
        <w:t>59</w:t>
      </w:r>
      <w:r w:rsidRPr="00D3330B">
        <w:rPr>
          <w:b/>
          <w:bCs/>
        </w:rPr>
        <w:t xml:space="preserve"> ч. </w:t>
      </w:r>
      <w:r w:rsidRPr="00D3330B">
        <w:rPr>
          <w:bCs/>
        </w:rPr>
        <w:t xml:space="preserve"> </w:t>
      </w:r>
    </w:p>
    <w:p w14:paraId="589C2300" w14:textId="77777777" w:rsidR="00362841" w:rsidRPr="00D3330B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D3330B" w:rsidRDefault="00362841" w:rsidP="00362841">
      <w:pPr>
        <w:jc w:val="center"/>
        <w:rPr>
          <w:b/>
          <w:bCs/>
        </w:rPr>
      </w:pPr>
      <w:r w:rsidRPr="00D3330B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5E702CF2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D3330B">
        <w:rPr>
          <w:b/>
          <w:bCs/>
        </w:rPr>
        <w:t xml:space="preserve">Организатором торгов </w:t>
      </w:r>
      <w:r w:rsidR="007C7D00">
        <w:rPr>
          <w:b/>
          <w:bCs/>
        </w:rPr>
        <w:t>19</w:t>
      </w:r>
      <w:r w:rsidR="00CE0757">
        <w:rPr>
          <w:b/>
          <w:bCs/>
        </w:rPr>
        <w:t>.</w:t>
      </w:r>
      <w:r w:rsidR="00CD010A">
        <w:rPr>
          <w:b/>
          <w:bCs/>
        </w:rPr>
        <w:t>0</w:t>
      </w:r>
      <w:r w:rsidR="007C7D00">
        <w:rPr>
          <w:b/>
          <w:bCs/>
        </w:rPr>
        <w:t>9</w:t>
      </w:r>
      <w:r w:rsidRPr="00D3330B">
        <w:rPr>
          <w:b/>
          <w:bCs/>
        </w:rPr>
        <w:t>.20</w:t>
      </w:r>
      <w:r w:rsidR="00F47C54" w:rsidRPr="00D3330B">
        <w:rPr>
          <w:b/>
          <w:bCs/>
        </w:rPr>
        <w:t>2</w:t>
      </w:r>
      <w:r w:rsidR="00CD010A">
        <w:rPr>
          <w:b/>
          <w:bCs/>
        </w:rPr>
        <w:t>3</w:t>
      </w:r>
      <w:r w:rsidRPr="00D3330B">
        <w:rPr>
          <w:b/>
          <w:bCs/>
        </w:rPr>
        <w:t xml:space="preserve"> г.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4B108299" w14:textId="77777777" w:rsidR="002F1BCF" w:rsidRDefault="005D4397" w:rsidP="007C7D00">
      <w:pPr>
        <w:pStyle w:val="mcntmcntmsonormal"/>
        <w:shd w:val="clear" w:color="auto" w:fill="FFFFFF"/>
        <w:spacing w:before="24" w:beforeAutospacing="0" w:after="24" w:afterAutospacing="0"/>
        <w:jc w:val="both"/>
        <w:rPr>
          <w:b/>
          <w:bCs/>
          <w:color w:val="000000"/>
        </w:rPr>
      </w:pPr>
      <w:r w:rsidRPr="00E93BDF">
        <w:rPr>
          <w:b/>
          <w:bCs/>
        </w:rPr>
        <w:t>Телефоны для справок:</w:t>
      </w:r>
      <w:r w:rsidR="003D40EF" w:rsidRPr="00E93BDF">
        <w:rPr>
          <w:color w:val="000000"/>
        </w:rPr>
        <w:t xml:space="preserve"> </w:t>
      </w:r>
      <w:r w:rsidR="007C7D00" w:rsidRPr="00AA74D7">
        <w:rPr>
          <w:b/>
          <w:bCs/>
        </w:rPr>
        <w:t>8 (343) 379-35-55, 8</w:t>
      </w:r>
      <w:r w:rsidR="002F1BCF">
        <w:rPr>
          <w:b/>
          <w:bCs/>
        </w:rPr>
        <w:t xml:space="preserve"> </w:t>
      </w:r>
      <w:r w:rsidR="007C7D00" w:rsidRPr="00AA74D7">
        <w:rPr>
          <w:b/>
          <w:bCs/>
        </w:rPr>
        <w:t>(992) 310-07-10 (мск+2 часа)</w:t>
      </w:r>
      <w:r w:rsidR="007C7D00" w:rsidRPr="00AA74D7">
        <w:rPr>
          <w:b/>
          <w:bCs/>
          <w:color w:val="000000"/>
        </w:rPr>
        <w:t>,</w:t>
      </w:r>
    </w:p>
    <w:p w14:paraId="7D8C2D1D" w14:textId="577F55EE" w:rsidR="007C7D00" w:rsidRPr="00AA74D7" w:rsidRDefault="007C7D00" w:rsidP="007C7D00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222222"/>
        </w:rPr>
      </w:pPr>
      <w:r w:rsidRPr="00AA74D7">
        <w:t xml:space="preserve"> </w:t>
      </w:r>
      <w:hyperlink r:id="rId9" w:history="1">
        <w:r w:rsidRPr="009B33B5">
          <w:rPr>
            <w:rStyle w:val="af4"/>
            <w:b/>
            <w:bCs/>
          </w:rPr>
          <w:t>ekb@auction-house.ru</w:t>
        </w:r>
      </w:hyperlink>
      <w:r w:rsidRPr="00AA74D7">
        <w:t xml:space="preserve"> </w:t>
      </w:r>
      <w:r w:rsidRPr="00AA74D7">
        <w:rPr>
          <w:color w:val="222222"/>
        </w:rPr>
        <w:t xml:space="preserve">      </w:t>
      </w:r>
    </w:p>
    <w:p w14:paraId="0D84142F" w14:textId="05ABB26A" w:rsidR="001D366C" w:rsidRPr="00E93BDF" w:rsidRDefault="001D366C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5E192586" w14:textId="536EFA14" w:rsidR="00B717A4" w:rsidRDefault="00B717A4" w:rsidP="00B717A4">
      <w:pPr>
        <w:ind w:right="-57" w:firstLine="540"/>
        <w:jc w:val="both"/>
        <w:rPr>
          <w:b/>
          <w:bCs/>
          <w:sz w:val="22"/>
          <w:szCs w:val="22"/>
        </w:rPr>
      </w:pPr>
      <w:bookmarkStart w:id="0" w:name="_Hlk109641232"/>
      <w:r>
        <w:rPr>
          <w:b/>
          <w:bCs/>
          <w:sz w:val="22"/>
          <w:szCs w:val="22"/>
        </w:rPr>
        <w:t xml:space="preserve">Единым лотом. </w:t>
      </w:r>
      <w:bookmarkEnd w:id="0"/>
    </w:p>
    <w:p w14:paraId="72DA2653" w14:textId="41CC4908" w:rsidR="00625080" w:rsidRDefault="002F1BCF" w:rsidP="00B717A4">
      <w:pPr>
        <w:ind w:right="-57" w:firstLine="540"/>
        <w:jc w:val="both"/>
        <w:rPr>
          <w:b/>
          <w:bCs/>
        </w:rPr>
      </w:pPr>
      <w:r w:rsidRPr="002F1BCF">
        <w:rPr>
          <w:b/>
          <w:bCs/>
        </w:rPr>
        <w:tab/>
        <w:t>Производственный комплекс из объектов, находящихся на земельном участке</w:t>
      </w:r>
      <w:r>
        <w:rPr>
          <w:b/>
          <w:bCs/>
        </w:rPr>
        <w:t xml:space="preserve"> общей площадью 11 003 кв. м.</w:t>
      </w:r>
      <w:r w:rsidRPr="002F1BCF">
        <w:rPr>
          <w:b/>
          <w:bCs/>
        </w:rPr>
        <w:t xml:space="preserve"> с кадастровым номером: 86:08:0030401:41</w:t>
      </w:r>
      <w:r>
        <w:rPr>
          <w:b/>
          <w:bCs/>
        </w:rPr>
        <w:t xml:space="preserve"> (земли населенных пунктов, для размещения сооружений промышленности)</w:t>
      </w:r>
      <w:r w:rsidRPr="002F1BCF">
        <w:rPr>
          <w:b/>
          <w:bCs/>
        </w:rPr>
        <w:t xml:space="preserve">, </w:t>
      </w:r>
      <w:r>
        <w:rPr>
          <w:b/>
          <w:bCs/>
        </w:rPr>
        <w:t>наименование</w:t>
      </w:r>
      <w:r w:rsidR="00FA5931">
        <w:rPr>
          <w:b/>
          <w:bCs/>
        </w:rPr>
        <w:t>:</w:t>
      </w:r>
      <w:r w:rsidRPr="002F1BCF">
        <w:rPr>
          <w:b/>
          <w:bCs/>
        </w:rPr>
        <w:t xml:space="preserve"> "Малогабаритная бензино-дизельная установка БДУ-2К</w:t>
      </w:r>
      <w:r>
        <w:rPr>
          <w:b/>
          <w:bCs/>
        </w:rPr>
        <w:t xml:space="preserve"> в п. Сивыс-Ях</w:t>
      </w:r>
      <w:r w:rsidRPr="002F1BCF">
        <w:rPr>
          <w:b/>
          <w:bCs/>
        </w:rPr>
        <w:t>",</w:t>
      </w:r>
      <w:r>
        <w:rPr>
          <w:b/>
          <w:bCs/>
        </w:rPr>
        <w:t xml:space="preserve"> кадастровый номер: </w:t>
      </w:r>
      <w:r w:rsidRPr="002F1BCF">
        <w:rPr>
          <w:b/>
          <w:bCs/>
        </w:rPr>
        <w:t>86:08:0030401:</w:t>
      </w:r>
      <w:r>
        <w:rPr>
          <w:b/>
          <w:bCs/>
        </w:rPr>
        <w:t>243,</w:t>
      </w:r>
      <w:r w:rsidRPr="002F1BCF">
        <w:rPr>
          <w:b/>
          <w:bCs/>
        </w:rPr>
        <w:t xml:space="preserve"> расположенный по адресу: Ханты-Мансийский Автономный округ - Югра, Нефтеюганский район, поселок Сивыс-Ях, проезд Линейный</w:t>
      </w:r>
      <w:r>
        <w:rPr>
          <w:b/>
          <w:bCs/>
        </w:rPr>
        <w:t>, строен. 5</w:t>
      </w:r>
      <w:r w:rsidRPr="002F1BCF">
        <w:rPr>
          <w:b/>
          <w:bCs/>
        </w:rPr>
        <w:t xml:space="preserve"> </w:t>
      </w:r>
    </w:p>
    <w:p w14:paraId="32BAE476" w14:textId="77777777" w:rsidR="002F1BCF" w:rsidRDefault="002F1BCF" w:rsidP="00B717A4">
      <w:pPr>
        <w:ind w:right="-57" w:firstLine="540"/>
        <w:jc w:val="both"/>
        <w:rPr>
          <w:b/>
          <w:bCs/>
        </w:rPr>
      </w:pPr>
    </w:p>
    <w:p w14:paraId="637A5900" w14:textId="7492E79F" w:rsidR="00625080" w:rsidRPr="00B717A4" w:rsidRDefault="00625080" w:rsidP="00485388">
      <w:pPr>
        <w:pStyle w:val="ad"/>
        <w:spacing w:after="0"/>
        <w:ind w:left="0"/>
        <w:jc w:val="both"/>
        <w:rPr>
          <w:sz w:val="23"/>
          <w:szCs w:val="23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 xml:space="preserve">Начальная цена: </w:t>
      </w:r>
      <w:r w:rsidR="00485388">
        <w:rPr>
          <w:rFonts w:ascii="Times New Roman" w:hAnsi="Times New Roman"/>
          <w:b/>
          <w:bCs/>
          <w:sz w:val="24"/>
          <w:szCs w:val="24"/>
        </w:rPr>
        <w:t>222</w:t>
      </w:r>
      <w:r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388">
        <w:rPr>
          <w:rFonts w:ascii="Times New Roman" w:hAnsi="Times New Roman"/>
          <w:b/>
          <w:bCs/>
          <w:sz w:val="24"/>
          <w:szCs w:val="24"/>
        </w:rPr>
        <w:t>00</w:t>
      </w:r>
      <w:r w:rsidR="00B717A4">
        <w:rPr>
          <w:rFonts w:ascii="Times New Roman" w:hAnsi="Times New Roman"/>
          <w:b/>
          <w:bCs/>
          <w:sz w:val="24"/>
          <w:szCs w:val="24"/>
        </w:rPr>
        <w:t>0</w:t>
      </w:r>
      <w:r w:rsidRPr="00D3330B">
        <w:rPr>
          <w:rFonts w:ascii="Times New Roman" w:hAnsi="Times New Roman"/>
          <w:b/>
          <w:bCs/>
          <w:sz w:val="24"/>
          <w:szCs w:val="24"/>
        </w:rPr>
        <w:t> </w:t>
      </w:r>
      <w:r w:rsidR="00485388">
        <w:rPr>
          <w:rFonts w:ascii="Times New Roman" w:hAnsi="Times New Roman"/>
          <w:b/>
          <w:bCs/>
          <w:sz w:val="24"/>
          <w:szCs w:val="24"/>
        </w:rPr>
        <w:t>000</w:t>
      </w:r>
      <w:r w:rsidRPr="00D3330B">
        <w:rPr>
          <w:rFonts w:ascii="Times New Roman" w:hAnsi="Times New Roman"/>
          <w:sz w:val="24"/>
          <w:szCs w:val="24"/>
        </w:rPr>
        <w:t xml:space="preserve"> (</w:t>
      </w:r>
      <w:r w:rsidR="00485388">
        <w:rPr>
          <w:rFonts w:ascii="Times New Roman" w:hAnsi="Times New Roman"/>
          <w:sz w:val="24"/>
          <w:szCs w:val="24"/>
        </w:rPr>
        <w:t>Двести двадцать два</w:t>
      </w:r>
      <w:r w:rsidR="00806572" w:rsidRPr="00806572">
        <w:rPr>
          <w:rFonts w:ascii="Times New Roman" w:hAnsi="Times New Roman"/>
          <w:sz w:val="24"/>
          <w:szCs w:val="24"/>
        </w:rPr>
        <w:t xml:space="preserve"> миллиона)</w:t>
      </w:r>
      <w:r w:rsidR="00806572">
        <w:rPr>
          <w:rFonts w:ascii="Times New Roman" w:hAnsi="Times New Roman"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>руб. 00 коп., НДС не облагается</w:t>
      </w:r>
      <w:r w:rsidR="00485388">
        <w:rPr>
          <w:rFonts w:ascii="Times New Roman" w:hAnsi="Times New Roman"/>
          <w:sz w:val="24"/>
          <w:szCs w:val="24"/>
        </w:rPr>
        <w:t>.</w:t>
      </w:r>
    </w:p>
    <w:p w14:paraId="67B549A9" w14:textId="5F141854" w:rsidR="00625080" w:rsidRPr="00D3330B" w:rsidRDefault="00625080" w:rsidP="00625080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485388">
        <w:rPr>
          <w:rFonts w:ascii="Times New Roman" w:hAnsi="Times New Roman"/>
          <w:b/>
          <w:sz w:val="24"/>
          <w:szCs w:val="24"/>
        </w:rPr>
        <w:t>12 00</w:t>
      </w:r>
      <w:r w:rsidR="00B717A4">
        <w:rPr>
          <w:rFonts w:ascii="Times New Roman" w:hAnsi="Times New Roman"/>
          <w:b/>
          <w:sz w:val="24"/>
          <w:szCs w:val="24"/>
        </w:rPr>
        <w:t>0</w:t>
      </w:r>
      <w:r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>(</w:t>
      </w:r>
      <w:r w:rsidR="00485388">
        <w:rPr>
          <w:rFonts w:ascii="Times New Roman" w:hAnsi="Times New Roman"/>
          <w:sz w:val="24"/>
          <w:szCs w:val="24"/>
        </w:rPr>
        <w:t>Двенадцать миллионов</w:t>
      </w:r>
      <w:r w:rsidRPr="00D3330B">
        <w:rPr>
          <w:rFonts w:ascii="Times New Roman" w:hAnsi="Times New Roman"/>
          <w:sz w:val="24"/>
          <w:szCs w:val="24"/>
        </w:rPr>
        <w:t>)</w:t>
      </w:r>
      <w:r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30D7D17B" w14:textId="602E4929" w:rsidR="00625080" w:rsidRPr="00E93BDF" w:rsidRDefault="00625080" w:rsidP="00625080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Шаг на повышение: </w:t>
      </w:r>
      <w:r>
        <w:rPr>
          <w:rFonts w:ascii="Times New Roman" w:hAnsi="Times New Roman"/>
          <w:b/>
          <w:sz w:val="24"/>
          <w:szCs w:val="24"/>
        </w:rPr>
        <w:t>50</w:t>
      </w:r>
      <w:r w:rsidR="00485388">
        <w:rPr>
          <w:rFonts w:ascii="Times New Roman" w:hAnsi="Times New Roman"/>
          <w:b/>
          <w:sz w:val="24"/>
          <w:szCs w:val="24"/>
        </w:rPr>
        <w:t>0</w:t>
      </w:r>
      <w:r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Пять</w:t>
      </w:r>
      <w:r w:rsidR="00485388">
        <w:rPr>
          <w:rFonts w:ascii="Times New Roman" w:hAnsi="Times New Roman"/>
          <w:sz w:val="24"/>
          <w:szCs w:val="24"/>
        </w:rPr>
        <w:t>сот</w:t>
      </w:r>
      <w:r>
        <w:rPr>
          <w:rFonts w:ascii="Times New Roman" w:hAnsi="Times New Roman"/>
          <w:sz w:val="24"/>
          <w:szCs w:val="24"/>
        </w:rPr>
        <w:t xml:space="preserve"> тысяч</w:t>
      </w:r>
      <w:r w:rsidRPr="00D3330B">
        <w:rPr>
          <w:rFonts w:ascii="Times New Roman" w:hAnsi="Times New Roman"/>
          <w:sz w:val="24"/>
          <w:szCs w:val="24"/>
        </w:rPr>
        <w:t>)</w:t>
      </w:r>
      <w:r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>руб. 00 коп.</w:t>
      </w:r>
    </w:p>
    <w:p w14:paraId="0115CB43" w14:textId="7E87479E" w:rsidR="000D35BC" w:rsidRDefault="000D35BC" w:rsidP="00806572">
      <w:pPr>
        <w:ind w:right="-57"/>
        <w:jc w:val="both"/>
        <w:rPr>
          <w:sz w:val="23"/>
          <w:szCs w:val="23"/>
        </w:rPr>
      </w:pPr>
    </w:p>
    <w:p w14:paraId="50A9ABFE" w14:textId="276489FC" w:rsidR="0005653B" w:rsidRPr="00E93BDF" w:rsidRDefault="0005653B" w:rsidP="004F4CEB">
      <w:pPr>
        <w:ind w:firstLine="708"/>
        <w:jc w:val="both"/>
        <w:rPr>
          <w:bCs/>
        </w:rPr>
      </w:pPr>
      <w:r w:rsidRPr="00E93BDF">
        <w:rPr>
          <w:b/>
          <w:bCs/>
        </w:rPr>
        <w:t xml:space="preserve">Время проведения аукциона с 08:00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101729" w:rsidRPr="00E93BDF">
        <w:rPr>
          <w:b/>
          <w:bCs/>
        </w:rPr>
        <w:t>09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8D7A80A" w14:textId="77777777" w:rsidR="00485388" w:rsidRDefault="00485388" w:rsidP="00485388">
      <w:pPr>
        <w:tabs>
          <w:tab w:val="left" w:pos="540"/>
          <w:tab w:val="left" w:pos="720"/>
        </w:tabs>
        <w:ind w:firstLine="851"/>
        <w:jc w:val="both"/>
        <w:rPr>
          <w:rFonts w:eastAsia="Times New Roman"/>
          <w:b/>
        </w:rPr>
      </w:pPr>
      <w:r w:rsidRPr="00AA74D7">
        <w:rPr>
          <w:rFonts w:eastAsia="Times New Roman"/>
          <w:color w:val="000000"/>
        </w:rPr>
        <w:t>Подробную информацию о предмете торгов, включая сведения об ограничениях (обременениях) и порядке проведения аукциона, можно получить у организатора торгов – АО «РАД»: тел. 8 (343) 379-35-55, 8 (992) 310-07-10 (мск+2 часа), ekb@auction-house.ru, в рабочие дни с 09:00 до 18:00 часов, не позднее дня окончания приема заявок на торги.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lastRenderedPageBreak/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0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Pr="00E93BDF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</w:t>
      </w:r>
      <w:r w:rsidR="00406F1D" w:rsidRPr="00406F1D">
        <w:rPr>
          <w:b/>
          <w:bCs/>
        </w:rPr>
        <w:lastRenderedPageBreak/>
        <w:t>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3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4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lastRenderedPageBreak/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E93BDF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0E56762C" w14:textId="77777777" w:rsidR="00117840" w:rsidRPr="00E93BDF" w:rsidRDefault="00117840" w:rsidP="00117840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 xml:space="preserve">Продавец </w:t>
      </w:r>
      <w:r w:rsidRPr="00E93BDF">
        <w:rPr>
          <w:b/>
          <w:bCs/>
        </w:rPr>
        <w:t xml:space="preserve">вправе заключить ДКП с Единственным участником аукциона, при этом Единственный участник аукциона обязуется заключить ДКП Объекта с </w:t>
      </w:r>
      <w:r>
        <w:rPr>
          <w:b/>
          <w:bCs/>
        </w:rPr>
        <w:t>Продавцом</w:t>
      </w:r>
      <w:r w:rsidRPr="00E93BDF">
        <w:rPr>
          <w:b/>
          <w:bCs/>
        </w:rPr>
        <w:t xml:space="preserve">, равной начальной.  </w:t>
      </w:r>
    </w:p>
    <w:p w14:paraId="26001B9A" w14:textId="77777777" w:rsidR="00117840" w:rsidRPr="00E93BDF" w:rsidRDefault="00117840" w:rsidP="00117840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ДКП заключается 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с даты направления </w:t>
      </w:r>
      <w:r>
        <w:rPr>
          <w:b/>
          <w:bCs/>
        </w:rPr>
        <w:t xml:space="preserve">Продавцом </w:t>
      </w:r>
      <w:r w:rsidRPr="00E93BDF">
        <w:rPr>
          <w:b/>
          <w:bCs/>
        </w:rPr>
        <w:t>Единственному участнику аукциона уведомления о ее согласии на заключение ДКП с Единственным участником аукциона.</w:t>
      </w:r>
    </w:p>
    <w:p w14:paraId="6D2F9D76" w14:textId="77777777" w:rsidR="00117840" w:rsidRPr="00E93BDF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3E19B132" w14:textId="7AAF96B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D34E1BD" w14:textId="30C4D69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A6A45C4" w14:textId="2A0325E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5D2D801" w14:textId="14B56F3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F784416" w14:textId="13D8AED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1A8CBE" w14:textId="009647B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FC0B8" w14:textId="77777777" w:rsidR="007B331F" w:rsidRDefault="007B331F" w:rsidP="008C3E4E">
      <w:r>
        <w:separator/>
      </w:r>
    </w:p>
  </w:endnote>
  <w:endnote w:type="continuationSeparator" w:id="0">
    <w:p w14:paraId="7297659E" w14:textId="77777777" w:rsidR="007B331F" w:rsidRDefault="007B331F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CA05" w14:textId="77777777" w:rsidR="007B331F" w:rsidRDefault="007B331F" w:rsidP="008C3E4E">
      <w:r>
        <w:separator/>
      </w:r>
    </w:p>
  </w:footnote>
  <w:footnote w:type="continuationSeparator" w:id="0">
    <w:p w14:paraId="49C8F3C4" w14:textId="77777777" w:rsidR="007B331F" w:rsidRDefault="007B331F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6017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B4C"/>
    <w:rsid w:val="00083C88"/>
    <w:rsid w:val="000862EB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0651"/>
    <w:rsid w:val="00101729"/>
    <w:rsid w:val="00103D25"/>
    <w:rsid w:val="00104304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51860"/>
    <w:rsid w:val="001518AE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3D03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1BCF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1978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4EC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81F00"/>
    <w:rsid w:val="00482B62"/>
    <w:rsid w:val="00483F40"/>
    <w:rsid w:val="00483F8B"/>
    <w:rsid w:val="00485388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827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47E6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68F8"/>
    <w:rsid w:val="005B75E0"/>
    <w:rsid w:val="005B790D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25080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97646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088D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2DA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31F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C7D00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572"/>
    <w:rsid w:val="00806DF1"/>
    <w:rsid w:val="0080708B"/>
    <w:rsid w:val="00811495"/>
    <w:rsid w:val="00811E8F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06C"/>
    <w:rsid w:val="00875108"/>
    <w:rsid w:val="00875F8A"/>
    <w:rsid w:val="00877F53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2FA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4762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201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EBA"/>
    <w:rsid w:val="00A84667"/>
    <w:rsid w:val="00A86F41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8DB"/>
    <w:rsid w:val="00B66489"/>
    <w:rsid w:val="00B67FC4"/>
    <w:rsid w:val="00B7115F"/>
    <w:rsid w:val="00B7158A"/>
    <w:rsid w:val="00B717A4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B5D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6A16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045C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10A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14F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3FB4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03D6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3E56"/>
    <w:rsid w:val="00EA52A6"/>
    <w:rsid w:val="00EA647A"/>
    <w:rsid w:val="00EA7235"/>
    <w:rsid w:val="00EA7C5F"/>
    <w:rsid w:val="00EB0361"/>
    <w:rsid w:val="00EB2441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F02"/>
    <w:rsid w:val="00ED3686"/>
    <w:rsid w:val="00ED6385"/>
    <w:rsid w:val="00EE1814"/>
    <w:rsid w:val="00EE1B90"/>
    <w:rsid w:val="00EE27F9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96A72"/>
    <w:rsid w:val="00FA1A2D"/>
    <w:rsid w:val="00FA4BDA"/>
    <w:rsid w:val="00FA556B"/>
    <w:rsid w:val="00FA5931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D0286"/>
    <w:rsid w:val="00FD168C"/>
    <w:rsid w:val="00FD33F9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b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</TotalTime>
  <Pages>6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16474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Крапивенцева Нина Дмитриевна</cp:lastModifiedBy>
  <cp:revision>52</cp:revision>
  <cp:lastPrinted>2023-07-12T03:22:00Z</cp:lastPrinted>
  <dcterms:created xsi:type="dcterms:W3CDTF">2022-06-16T09:57:00Z</dcterms:created>
  <dcterms:modified xsi:type="dcterms:W3CDTF">2023-07-13T08:47:00Z</dcterms:modified>
</cp:coreProperties>
</file>