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512AD110" w14:textId="77777777" w:rsidR="00741743" w:rsidRDefault="00741743" w:rsidP="0074174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2A33D82" w14:textId="77777777" w:rsidR="00741743" w:rsidRDefault="00741743" w:rsidP="0074174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купли-продажи недвижимого имущества</w:t>
      </w:r>
    </w:p>
    <w:p w14:paraId="7B7B973D" w14:textId="77777777" w:rsidR="00741743" w:rsidRDefault="00741743" w:rsidP="0074174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(ПАО)– Продавец)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AF95CD3" w14:textId="77777777" w:rsidR="00741743" w:rsidRDefault="00741743" w:rsidP="00741743">
      <w:pPr>
        <w:spacing w:after="0" w:line="240" w:lineRule="auto"/>
        <w:ind w:firstLine="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E423584" w14:textId="77777777" w:rsidR="00741743" w:rsidRDefault="00B83979" w:rsidP="0074174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417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74174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="007417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="0074174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="007417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="0074174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="0074174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41743">
        <w:t xml:space="preserve"> </w:t>
      </w:r>
      <w:r w:rsidR="0074174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№__________от_____________ заключили настоящий договор о нижеследующем (далее – Договор).</w:t>
      </w:r>
    </w:p>
    <w:p w14:paraId="4A4C181A" w14:textId="1EDF796E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8EE0D9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E04BE7D" w14:textId="5F58BA75" w:rsidR="00741743" w:rsidRDefault="00741743" w:rsidP="00741743">
      <w:pPr>
        <w:pStyle w:val="a5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1.1. По Договору Продавец обязуется передать в собственность Покупателя, а Покупатель обязуется принять и оплатить:</w:t>
      </w:r>
    </w:p>
    <w:p w14:paraId="570C8645" w14:textId="77777777" w:rsidR="00741743" w:rsidRDefault="00741743" w:rsidP="00741743">
      <w:pPr>
        <w:pStyle w:val="a5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1.1.1. Нежилое помещение, кадастровый номер 61:45:0000129:173, общей площадью 599,5 </w:t>
      </w:r>
      <w:proofErr w:type="spellStart"/>
      <w:r>
        <w:rPr>
          <w:rFonts w:ascii="Verdana" w:hAnsi="Verdana"/>
          <w:color w:val="000000" w:themeColor="text1"/>
        </w:rPr>
        <w:t>кв.м</w:t>
      </w:r>
      <w:proofErr w:type="spellEnd"/>
      <w:r>
        <w:rPr>
          <w:rFonts w:ascii="Verdana" w:hAnsi="Verdana"/>
          <w:color w:val="000000" w:themeColor="text1"/>
        </w:rPr>
        <w:t xml:space="preserve">., расположенное на первом этаже жилого дома, адрес (местонахождение): Россия, Ростовская обл., г. Азов, пл. Петровская, 5/30 </w:t>
      </w:r>
    </w:p>
    <w:p w14:paraId="1687DC23" w14:textId="77777777" w:rsidR="00741743" w:rsidRDefault="00741743" w:rsidP="00741743">
      <w:pPr>
        <w:pStyle w:val="a5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1.1.2.   Движимое имущество:</w:t>
      </w:r>
    </w:p>
    <w:p w14:paraId="7514E0BC" w14:textId="77777777" w:rsidR="00741743" w:rsidRDefault="00741743" w:rsidP="00741743">
      <w:pPr>
        <w:pStyle w:val="a5"/>
        <w:numPr>
          <w:ilvl w:val="2"/>
          <w:numId w:val="35"/>
        </w:numPr>
        <w:ind w:left="1560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Тепловая завеса ТРОПИК М6, инв.№ 0442-00380;</w:t>
      </w:r>
    </w:p>
    <w:p w14:paraId="3CFE8B13" w14:textId="77777777" w:rsidR="00741743" w:rsidRDefault="00741743" w:rsidP="00741743">
      <w:pPr>
        <w:pStyle w:val="a5"/>
        <w:numPr>
          <w:ilvl w:val="2"/>
          <w:numId w:val="35"/>
        </w:numPr>
        <w:ind w:left="1560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Кондиционер, инв.№ 0442-00381;</w:t>
      </w:r>
    </w:p>
    <w:p w14:paraId="0C2A3EA2" w14:textId="77777777" w:rsidR="00741743" w:rsidRDefault="00741743" w:rsidP="00741743">
      <w:pPr>
        <w:pStyle w:val="a5"/>
        <w:numPr>
          <w:ilvl w:val="2"/>
          <w:numId w:val="35"/>
        </w:numPr>
        <w:ind w:left="1560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Кондиционер, инв.№ 0442-00386;</w:t>
      </w:r>
    </w:p>
    <w:p w14:paraId="4BB18173" w14:textId="77777777" w:rsidR="00741743" w:rsidRDefault="00741743" w:rsidP="00741743">
      <w:pPr>
        <w:pStyle w:val="a5"/>
        <w:numPr>
          <w:ilvl w:val="2"/>
          <w:numId w:val="35"/>
        </w:numPr>
        <w:ind w:left="1560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Кондиционер, инв.№ 0442-00387;</w:t>
      </w:r>
    </w:p>
    <w:p w14:paraId="73C0063F" w14:textId="77777777" w:rsidR="00741743" w:rsidRDefault="00741743" w:rsidP="00741743">
      <w:pPr>
        <w:pStyle w:val="a5"/>
        <w:numPr>
          <w:ilvl w:val="2"/>
          <w:numId w:val="35"/>
        </w:numPr>
        <w:ind w:left="1560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Кондиционер, инв.№ 0442-00388;</w:t>
      </w:r>
    </w:p>
    <w:p w14:paraId="28BC8730" w14:textId="77777777" w:rsidR="00741743" w:rsidRDefault="00741743" w:rsidP="00741743">
      <w:pPr>
        <w:pStyle w:val="a5"/>
        <w:numPr>
          <w:ilvl w:val="2"/>
          <w:numId w:val="35"/>
        </w:numPr>
        <w:ind w:left="1560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Кондиционер, инв.№ 0442-00390;</w:t>
      </w:r>
    </w:p>
    <w:p w14:paraId="639B1048" w14:textId="77777777" w:rsidR="00741743" w:rsidRDefault="00741743" w:rsidP="00741743">
      <w:pPr>
        <w:pStyle w:val="a5"/>
        <w:numPr>
          <w:ilvl w:val="2"/>
          <w:numId w:val="35"/>
        </w:numPr>
        <w:ind w:left="1560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Кондиционер, инв.№ 0442-00391;</w:t>
      </w:r>
    </w:p>
    <w:p w14:paraId="4ECC7DCF" w14:textId="77777777" w:rsidR="00741743" w:rsidRDefault="00741743" w:rsidP="00741743">
      <w:pPr>
        <w:pStyle w:val="a5"/>
        <w:numPr>
          <w:ilvl w:val="2"/>
          <w:numId w:val="35"/>
        </w:numPr>
        <w:ind w:left="1560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Кондиционер, инв.№ 0442-00595;</w:t>
      </w:r>
    </w:p>
    <w:p w14:paraId="16035E5F" w14:textId="77777777" w:rsidR="00741743" w:rsidRDefault="00741743" w:rsidP="00741743">
      <w:pPr>
        <w:pStyle w:val="a5"/>
        <w:numPr>
          <w:ilvl w:val="0"/>
          <w:numId w:val="35"/>
        </w:numPr>
        <w:ind w:left="1560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Система ОПС Азов, инв. № 0442-02113;</w:t>
      </w:r>
    </w:p>
    <w:p w14:paraId="1A4812C5" w14:textId="77777777" w:rsidR="00741743" w:rsidRDefault="00741743" w:rsidP="0074174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(Имущество, перечисленное в п.1.1.1 и п.1.1.2 далее совместно именуется – «недвижимое имущество»).</w:t>
      </w:r>
    </w:p>
    <w:p w14:paraId="6F6B1BE9" w14:textId="459D5F45" w:rsidR="00741743" w:rsidRDefault="00741743" w:rsidP="0074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1.2. Нежилое помещение принадлежит Продавцу на праве собственности на основании Договора купли-продажи недвижимого имущества № б/н от 07.05.2007г и Акта приема-передачи недвижимого имущества от 07.05.2007г, о чем в Едином государственном реестре недвижимости сделана запись о регистрации №61-61-02/017/2007-101 от 06.06.2007, что подтверждается Выпиской из Единого государственного реестра недвижимости от </w:t>
      </w:r>
      <w:r w:rsidRPr="00741743">
        <w:rPr>
          <w:rFonts w:ascii="Verdana" w:hAnsi="Verdana" w:cs="Times New Roman"/>
          <w:sz w:val="20"/>
          <w:szCs w:val="20"/>
        </w:rPr>
        <w:t>27.06.2023г. № КУВИ-001/2023-147718640</w:t>
      </w:r>
      <w:r>
        <w:rPr>
          <w:rFonts w:ascii="Verdana" w:hAnsi="Verdana" w:cs="Times New Roman"/>
          <w:sz w:val="20"/>
          <w:szCs w:val="20"/>
        </w:rPr>
        <w:t>.</w:t>
      </w:r>
    </w:p>
    <w:p w14:paraId="7B1AA311" w14:textId="77777777" w:rsidR="00741743" w:rsidRDefault="00741743" w:rsidP="00741743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1.2.1. 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125F930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90FB3D4" w14:textId="77777777" w:rsidR="00741743" w:rsidRDefault="00741743" w:rsidP="00741743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4A72B810" w14:textId="1D18FDB0" w:rsidR="00741743" w:rsidRDefault="00741743" w:rsidP="00741743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>
        <w:rPr>
          <w:rFonts w:ascii="Verdana" w:hAnsi="Verdana"/>
        </w:rPr>
        <w:t xml:space="preserve">На дату подписания Договора недвижимое имущество не обременено правами третьих лиц, кроме как правами аренды, а именно: </w:t>
      </w:r>
      <w:r>
        <w:rPr>
          <w:rFonts w:ascii="Verdana" w:hAnsi="Verdana" w:cs="Times New Roman"/>
        </w:rPr>
        <w:t>в отношении недвижимого имущества заключены договоры аренды</w:t>
      </w:r>
      <w:r>
        <w:rPr>
          <w:rFonts w:ascii="Verdana" w:hAnsi="Verdana" w:cs="Times New Roman"/>
          <w:color w:val="000000" w:themeColor="text1"/>
        </w:rPr>
        <w:t>, перечисленные в Приложении №2 к Договору.</w:t>
      </w:r>
    </w:p>
    <w:p w14:paraId="1923D402" w14:textId="705A2D2C" w:rsidR="00761DF7" w:rsidRPr="00741743" w:rsidRDefault="0074174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741743">
        <w:rPr>
          <w:rFonts w:ascii="Verdana" w:hAnsi="Verdana"/>
        </w:rPr>
        <w:t>Договоры аренды передаются Покупателю в заверенных Продавцом копиях</w:t>
      </w:r>
      <w:r>
        <w:rPr>
          <w:rFonts w:ascii="Verdana" w:hAnsi="Verdana"/>
        </w:rPr>
        <w:t>.</w:t>
      </w:r>
    </w:p>
    <w:p w14:paraId="08D420C8" w14:textId="77777777" w:rsidR="00741743" w:rsidRDefault="00741743" w:rsidP="00741743">
      <w:pPr>
        <w:spacing w:line="240" w:lineRule="auto"/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</w:t>
      </w:r>
      <w:r>
        <w:rPr>
          <w:rFonts w:ascii="Verdana" w:hAnsi="Verdana" w:cs="Verdana"/>
          <w:b/>
          <w:color w:val="000000"/>
          <w:sz w:val="20"/>
          <w:szCs w:val="2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ЕГРН.</w:t>
      </w: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55F984" w14:textId="77777777" w:rsidR="00741743" w:rsidRDefault="00741743" w:rsidP="00741743">
      <w:pPr>
        <w:pStyle w:val="a5"/>
        <w:widowControl w:val="0"/>
        <w:numPr>
          <w:ilvl w:val="1"/>
          <w:numId w:val="36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>
        <w:rPr>
          <w:rFonts w:ascii="Verdana" w:hAnsi="Verdana"/>
        </w:rPr>
        <w:t>Цена недвижимого имущества составляет ______________________ (__________________) рублей ___ копеек (в том числе НДС, исчисленный в соответствии с действующим законодательством), в том числе:</w:t>
      </w:r>
    </w:p>
    <w:tbl>
      <w:tblPr>
        <w:tblW w:w="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116"/>
        <w:gridCol w:w="1701"/>
      </w:tblGrid>
      <w:tr w:rsidR="00741743" w14:paraId="723B2D44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19A3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681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091C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(в руб., в том числе НДС)</w:t>
            </w:r>
          </w:p>
        </w:tc>
      </w:tr>
      <w:tr w:rsidR="00741743" w14:paraId="3ECEC607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8F73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1175" w14:textId="77777777" w:rsidR="00741743" w:rsidRDefault="00741743">
            <w:pPr>
              <w:suppressAutoHyphens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</w:rPr>
              <w:t>Н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ежилое помещение, кадастровый номер 61:45:0000129:173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7D0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41743" w14:paraId="6EBAD1E6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CE9D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2F3C" w14:textId="77777777" w:rsidR="00741743" w:rsidRDefault="007417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Тепловая завеса ТРОПИК М6, инв.№ 0442-00380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E3C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41743" w14:paraId="6A228E75" w14:textId="77777777" w:rsidTr="00741743">
        <w:trPr>
          <w:trHeight w:val="2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595F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4BE1" w14:textId="77777777" w:rsidR="00741743" w:rsidRDefault="007417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Кондиционер, инв.№ 0442-00381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3AF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41743" w14:paraId="0465632B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0F32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D232" w14:textId="77777777" w:rsidR="00741743" w:rsidRDefault="007417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Кондиционер, инв.№ 0442-00386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A9F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41743" w14:paraId="6AFFBA52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0E16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34EF" w14:textId="77777777" w:rsidR="00741743" w:rsidRDefault="007417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Кондиционер, инв.№ 0442-00387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7F3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41743" w14:paraId="581E443A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BBD8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4893" w14:textId="77777777" w:rsidR="00741743" w:rsidRDefault="007417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Кондиционер, инв.№ 0442-00388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A06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41743" w14:paraId="3CE79672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3C11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073B" w14:textId="77777777" w:rsidR="00741743" w:rsidRDefault="007417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Кондиционер, инв.№ 0442-00390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EF8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41743" w14:paraId="72279270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1E7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6045" w14:textId="77777777" w:rsidR="00741743" w:rsidRDefault="007417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Кондиционер, инв.№ 0442-00391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721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41743" w14:paraId="569CFE23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D0CA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CA33" w14:textId="77777777" w:rsidR="00741743" w:rsidRDefault="007417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Кондиционер, инв.№ 0442-00595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0E5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41743" w14:paraId="3836EF53" w14:textId="77777777" w:rsidTr="00741743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6299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847" w14:textId="77777777" w:rsidR="00741743" w:rsidRDefault="0074174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Система ОПС Азов, инв. № 0442-02113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F675" w14:textId="77777777" w:rsidR="00741743" w:rsidRDefault="007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687A432F" w14:textId="77777777" w:rsidR="00741743" w:rsidRDefault="00741743" w:rsidP="00741743">
      <w:pPr>
        <w:jc w:val="both"/>
        <w:rPr>
          <w:rFonts w:ascii="Verdana" w:hAnsi="Verdana"/>
          <w:sz w:val="20"/>
          <w:szCs w:val="20"/>
        </w:rPr>
      </w:pPr>
    </w:p>
    <w:p w14:paraId="375F7D07" w14:textId="77777777" w:rsidR="00741743" w:rsidRDefault="00741743" w:rsidP="00741743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741743" w14:paraId="5DC2775F" w14:textId="77777777" w:rsidTr="00741743">
        <w:trPr>
          <w:trHeight w:val="693"/>
        </w:trPr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C414B" w14:textId="77777777" w:rsidR="00741743" w:rsidRDefault="00741743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71CC96" w14:textId="77777777" w:rsidR="00741743" w:rsidRDefault="00741743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741743" w14:paraId="7934B0A4" w14:textId="77777777" w:rsidTr="00741743">
        <w:trPr>
          <w:trHeight w:val="693"/>
        </w:trPr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86A7266" w14:textId="77777777" w:rsidR="00741743" w:rsidRDefault="00741743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76B36255" w14:textId="3D5A24BC" w:rsidR="00741743" w:rsidRDefault="00741743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D04852" w14:textId="77777777" w:rsidR="00741743" w:rsidRDefault="0074174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>
              <w:rPr>
                <w:rFonts w:ascii="Verdana" w:hAnsi="Verdana"/>
                <w:bCs/>
                <w:sz w:val="20"/>
                <w:szCs w:val="20"/>
              </w:rPr>
              <w:t>),</w:t>
            </w:r>
            <w:r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3734BEF" w14:textId="77777777" w:rsidR="00741743" w:rsidRDefault="0074174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22FDCA3F" w14:textId="2DD1485B" w:rsidR="00B64B5C" w:rsidRPr="00AC59E9" w:rsidRDefault="00AC59E9" w:rsidP="00AC59E9">
      <w:pPr>
        <w:adjustRightInd w:val="0"/>
        <w:ind w:left="142"/>
        <w:jc w:val="both"/>
        <w:rPr>
          <w:rFonts w:ascii="Verdana" w:hAnsi="Verdana"/>
          <w:sz w:val="20"/>
          <w:szCs w:val="20"/>
        </w:rPr>
      </w:pPr>
      <w:r w:rsidRPr="00AC59E9">
        <w:rPr>
          <w:rFonts w:ascii="Verdana" w:hAnsi="Verdana"/>
          <w:sz w:val="20"/>
          <w:szCs w:val="20"/>
        </w:rPr>
        <w:t xml:space="preserve">2.2. </w:t>
      </w:r>
      <w:r w:rsidR="00741743" w:rsidRPr="00AC59E9">
        <w:rPr>
          <w:rFonts w:ascii="Verdana" w:hAnsi="Verdana"/>
          <w:sz w:val="20"/>
          <w:szCs w:val="20"/>
        </w:rPr>
        <w:t xml:space="preserve"> </w:t>
      </w:r>
      <w:r w:rsidR="00B64B5C" w:rsidRPr="00AC59E9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C59E9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13BD927" w:rsidR="00AC59E9" w:rsidRPr="00214013" w:rsidRDefault="00AC59E9" w:rsidP="00AC59E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для полной предварительной оплаты </w:t>
            </w:r>
          </w:p>
        </w:tc>
        <w:tc>
          <w:tcPr>
            <w:tcW w:w="7512" w:type="dxa"/>
            <w:shd w:val="clear" w:color="auto" w:fill="auto"/>
          </w:tcPr>
          <w:p w14:paraId="3409DA2F" w14:textId="3D988A38" w:rsidR="00AC59E9" w:rsidRPr="00214013" w:rsidRDefault="00AC59E9" w:rsidP="00AC59E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</w:t>
            </w:r>
            <w:r w:rsidR="00151E1D">
              <w:rPr>
                <w:rFonts w:ascii="Verdana" w:hAnsi="Verdana"/>
                <w:sz w:val="20"/>
                <w:szCs w:val="20"/>
              </w:rPr>
              <w:t>Продавца, указанный в разделе 12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 Договора, цены недвижимого имущества в размере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C59E9" w:rsidRPr="00214013" w14:paraId="4E6B73A9" w14:textId="77777777" w:rsidTr="00671170">
        <w:tc>
          <w:tcPr>
            <w:tcW w:w="1843" w:type="dxa"/>
            <w:shd w:val="clear" w:color="auto" w:fill="auto"/>
          </w:tcPr>
          <w:p w14:paraId="55998E22" w14:textId="77777777" w:rsidR="00AC59E9" w:rsidRDefault="00AC59E9" w:rsidP="00AC59E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BDDB8E7" w14:textId="7EEE978C" w:rsidR="00AC59E9" w:rsidRPr="00214013" w:rsidRDefault="00AC59E9" w:rsidP="00AC59E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88C6E2C" w14:textId="799B7401" w:rsidR="00AC59E9" w:rsidRPr="00214013" w:rsidRDefault="00AC59E9" w:rsidP="00AC59E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2.2.1.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5 (Пяти) рабочих дней с</w:t>
            </w:r>
            <w:r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№3 к Договору, на цену недвижимого имущества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>
              <w:rPr>
                <w:rFonts w:ascii="Verdana" w:hAnsi="Verdana"/>
                <w:sz w:val="20"/>
                <w:szCs w:val="20"/>
              </w:rPr>
              <w:t xml:space="preserve">рублей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1FAA882" w14:textId="6FD347A8" w:rsidR="00AC59E9" w:rsidRDefault="00AC59E9" w:rsidP="00AC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AC59E9">
        <w:rPr>
          <w:rFonts w:ascii="Verdana" w:hAnsi="Verdana"/>
          <w:sz w:val="20"/>
          <w:szCs w:val="20"/>
        </w:rPr>
        <w:lastRenderedPageBreak/>
        <w:t>2.2.2. Задаток, внесенный Покупателем для участия в аукционе в размере</w:t>
      </w:r>
      <w:r w:rsidRPr="00AC59E9">
        <w:t xml:space="preserve"> </w:t>
      </w:r>
      <w:r>
        <w:rPr>
          <w:rFonts w:ascii="Verdana" w:hAnsi="Verdana"/>
          <w:sz w:val="20"/>
          <w:szCs w:val="20"/>
        </w:rPr>
        <w:t xml:space="preserve">1 428 000 </w:t>
      </w:r>
      <w:r w:rsidRPr="00AC59E9">
        <w:rPr>
          <w:rFonts w:ascii="Verdana" w:hAnsi="Verdana"/>
          <w:sz w:val="20"/>
          <w:szCs w:val="20"/>
        </w:rPr>
        <w:t>(</w:t>
      </w:r>
      <w:r w:rsidR="000B265C">
        <w:rPr>
          <w:rFonts w:ascii="Verdana" w:hAnsi="Verdana"/>
          <w:sz w:val="20"/>
          <w:szCs w:val="20"/>
        </w:rPr>
        <w:t>Один миллион четыреста двадцать восемь тысяч</w:t>
      </w:r>
      <w:r w:rsidRPr="00AC59E9">
        <w:rPr>
          <w:rFonts w:ascii="Verdana" w:hAnsi="Verdana"/>
          <w:sz w:val="20"/>
          <w:szCs w:val="20"/>
        </w:rPr>
        <w:t xml:space="preserve">) рублей </w:t>
      </w:r>
      <w:r w:rsidR="000B265C">
        <w:rPr>
          <w:rFonts w:ascii="Verdana" w:hAnsi="Verdana"/>
          <w:sz w:val="20"/>
          <w:szCs w:val="20"/>
        </w:rPr>
        <w:t>00</w:t>
      </w:r>
      <w:r w:rsidRPr="00AC59E9">
        <w:rPr>
          <w:rFonts w:ascii="Verdana" w:hAnsi="Verdana"/>
          <w:sz w:val="20"/>
          <w:szCs w:val="20"/>
        </w:rPr>
        <w:t xml:space="preserve"> копеек (в том числе НДС, исчисленный в соответствии с действующим законодательством), засчитывается в счет Обеспечительного платежа Покупателя в пользу Продавца (ст.  381.1 ГК РФ). Обеспечительный платеж обеспечивает исполнение Покупателем денежных обязательств по оплате цены недвижимого имущества согласно п. 2.2.1 Договора на счет </w:t>
      </w:r>
      <w:r>
        <w:rPr>
          <w:rFonts w:ascii="Verdana" w:hAnsi="Verdana"/>
          <w:sz w:val="20"/>
          <w:szCs w:val="20"/>
        </w:rPr>
        <w:t xml:space="preserve">Продавца, указанный в разделе </w:t>
      </w:r>
      <w:r w:rsidRPr="00AC59E9">
        <w:rPr>
          <w:rFonts w:ascii="Verdana" w:hAnsi="Verdana"/>
          <w:sz w:val="20"/>
          <w:szCs w:val="20"/>
        </w:rPr>
        <w:t xml:space="preserve">12 Договора. Обеспечительный платеж является собственностью Продавца. </w:t>
      </w:r>
    </w:p>
    <w:p w14:paraId="32F9AB4D" w14:textId="08B6F618" w:rsidR="00AC59E9" w:rsidRPr="00AC59E9" w:rsidRDefault="00AC59E9" w:rsidP="00AC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AC59E9">
        <w:rPr>
          <w:rFonts w:ascii="Verdana" w:hAnsi="Verdana"/>
          <w:sz w:val="20"/>
          <w:szCs w:val="20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</w:t>
      </w:r>
      <w:r>
        <w:rPr>
          <w:rFonts w:ascii="Verdana" w:hAnsi="Verdana"/>
          <w:sz w:val="20"/>
          <w:szCs w:val="20"/>
        </w:rPr>
        <w:t xml:space="preserve">Продавца, указанный в разделе </w:t>
      </w:r>
      <w:r w:rsidRPr="00AC59E9">
        <w:rPr>
          <w:rFonts w:ascii="Verdana" w:hAnsi="Verdana"/>
          <w:sz w:val="20"/>
          <w:szCs w:val="20"/>
        </w:rPr>
        <w:t xml:space="preserve">12 Договора, поступили денежные средства в соответствии с п.2.2.1 в размере </w:t>
      </w:r>
      <w:r w:rsidRPr="000B265C">
        <w:rPr>
          <w:rFonts w:ascii="Verdana" w:hAnsi="Verdana"/>
          <w:i/>
          <w:color w:val="0070C0"/>
          <w:sz w:val="20"/>
          <w:szCs w:val="20"/>
        </w:rPr>
        <w:t>[Размер указывается из расчета: цена недвижимого имущества не менее [(п. 2.1. Договора) минус Обеспечительный платеж (п. 2.2.2. Договора)]  ___________ (_____________) рублей ___ копеек (в том числе НДС, исчисленный в соответствии с действующим законодательством).</w:t>
      </w:r>
    </w:p>
    <w:p w14:paraId="2F2D6930" w14:textId="77777777" w:rsidR="00AC59E9" w:rsidRPr="00AC59E9" w:rsidRDefault="00AC59E9" w:rsidP="00AC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AC59E9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62D6901B" w14:textId="5709F4A9" w:rsidR="00AC59E9" w:rsidRPr="00AC59E9" w:rsidRDefault="00AC59E9" w:rsidP="00AC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AC59E9">
        <w:rPr>
          <w:rFonts w:ascii="Verdana" w:hAnsi="Verdana"/>
          <w:sz w:val="20"/>
          <w:szCs w:val="20"/>
        </w:rPr>
        <w:t xml:space="preserve">В случае </w:t>
      </w:r>
      <w:proofErr w:type="spellStart"/>
      <w:r w:rsidRPr="00AC59E9">
        <w:rPr>
          <w:rFonts w:ascii="Verdana" w:hAnsi="Verdana"/>
          <w:sz w:val="20"/>
          <w:szCs w:val="20"/>
        </w:rPr>
        <w:t>ненаступления</w:t>
      </w:r>
      <w:proofErr w:type="spellEnd"/>
      <w:r w:rsidRPr="00AC59E9">
        <w:rPr>
          <w:rFonts w:ascii="Verdana" w:hAnsi="Verdana"/>
          <w:sz w:val="20"/>
          <w:szCs w:val="20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A7A4E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6825"/>
      </w:tblGrid>
      <w:tr w:rsidR="000A1317" w:rsidRPr="00214013" w14:paraId="50B7A1CA" w14:textId="77777777" w:rsidTr="00921B0E">
        <w:tc>
          <w:tcPr>
            <w:tcW w:w="2586" w:type="dxa"/>
            <w:shd w:val="clear" w:color="auto" w:fill="auto"/>
          </w:tcPr>
          <w:p w14:paraId="7871730B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3575C1E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3975ACC3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27181B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78A3143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5B907A7B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68A6A4DA" w14:textId="77777777" w:rsidTr="00921B0E">
        <w:tc>
          <w:tcPr>
            <w:tcW w:w="2586" w:type="dxa"/>
            <w:shd w:val="clear" w:color="auto" w:fill="auto"/>
          </w:tcPr>
          <w:p w14:paraId="2FC6ABCF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B9ED7A" w14:textId="3952315E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</w:t>
            </w:r>
            <w:r w:rsidRPr="00214013">
              <w:rPr>
                <w:rFonts w:ascii="Verdana" w:hAnsi="Verdana"/>
                <w:i/>
                <w:color w:val="FF0000"/>
              </w:rPr>
              <w:lastRenderedPageBreak/>
              <w:t>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3ED853E3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C16FAF8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4DEC75" w14:textId="0832EF9C" w:rsidR="00C8616B" w:rsidRPr="009C7E24" w:rsidRDefault="00A17142" w:rsidP="00A1714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10"/>
        <w:jc w:val="both"/>
        <w:rPr>
          <w:rFonts w:ascii="Verdana" w:hAnsi="Verdana"/>
        </w:rPr>
      </w:pPr>
      <w:r w:rsidRPr="00A17142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течение </w:t>
      </w:r>
      <w:r w:rsidRPr="00A17142">
        <w:rPr>
          <w:rFonts w:ascii="Verdana" w:hAnsi="Verdana"/>
          <w:i/>
          <w:color w:val="0070C0"/>
        </w:rPr>
        <w:t>5 (Пяти) рабочих дней</w:t>
      </w:r>
      <w:r w:rsidRPr="00A17142">
        <w:rPr>
          <w:rFonts w:ascii="Verdana" w:hAnsi="Verdana"/>
          <w:color w:val="0070C0"/>
        </w:rPr>
        <w:t xml:space="preserve"> </w:t>
      </w:r>
      <w:r w:rsidRPr="00A17142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214013" w14:paraId="10B9C949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39EEB282" w14:textId="77777777" w:rsidR="00211F7A" w:rsidRPr="00214013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542FCF8" w14:textId="77777777" w:rsidR="00211F7A" w:rsidRPr="00214013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5EF8478" w14:textId="77777777" w:rsidR="00211F7A" w:rsidRPr="00214013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A17142" w14:paraId="65F19A0C" w14:textId="77777777" w:rsidTr="00A17142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55B67" w14:textId="77777777" w:rsidR="00A17142" w:rsidRDefault="00A17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F07628" w14:textId="77777777" w:rsidR="00A17142" w:rsidRDefault="00A17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A17142" w14:paraId="0FFE96D0" w14:textId="77777777" w:rsidTr="00A17142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0AF9D13" w14:textId="77777777" w:rsidR="00A17142" w:rsidRDefault="00A17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C2985CA" w14:textId="77777777" w:rsidR="00A17142" w:rsidRDefault="00A17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19C140B4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1B7CC990" w14:textId="42F26C15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20087F04" w14:textId="6466087F" w:rsidR="00A17142" w:rsidRPr="00214013" w:rsidRDefault="00A17142" w:rsidP="00A171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Verdana"/>
          <w:i/>
          <w:iCs/>
          <w:color w:val="0082BF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4.2.8. Любая з</w:t>
      </w:r>
      <w:r w:rsidRPr="00214013">
        <w:rPr>
          <w:rFonts w:ascii="Verdana" w:hAnsi="Verdana" w:cs="Verdana"/>
          <w:iCs/>
          <w:sz w:val="20"/>
          <w:szCs w:val="20"/>
        </w:rPr>
        <w:t>адолженность арендаторов перед Продавцом по договор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ам</w:t>
      </w:r>
      <w:r w:rsidRPr="00214013">
        <w:rPr>
          <w:rFonts w:ascii="Verdana" w:hAnsi="Verdana" w:cs="Verdana"/>
          <w:iCs/>
          <w:sz w:val="20"/>
          <w:szCs w:val="20"/>
        </w:rPr>
        <w:t xml:space="preserve"> аренды, указанн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ым</w:t>
      </w:r>
      <w:r w:rsidRPr="00214013">
        <w:rPr>
          <w:rFonts w:ascii="Verdana" w:hAnsi="Verdana" w:cs="Verdana"/>
          <w:iCs/>
          <w:sz w:val="20"/>
          <w:szCs w:val="20"/>
        </w:rPr>
        <w:t xml:space="preserve"> в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Приложении №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к 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hAnsi="Verdana" w:cs="Verdana"/>
          <w:iCs/>
          <w:sz w:val="20"/>
          <w:szCs w:val="20"/>
        </w:rPr>
        <w:t>может быть по усмотрению Продавца автоматически (без заявления Продавца и/или арендатора) зачтена из обеспечительного платежа по договорам аренды в дату, предшествующую дате передачи недвижимого имущества от Продавца Покупателю либо государственной регистрации перехода права собственности на недвижимое имущество, в зависимости от того, что наступит позднее.</w:t>
      </w:r>
      <w:r>
        <w:rPr>
          <w:rFonts w:ascii="Verdana" w:hAnsi="Verdana" w:cs="Verdana"/>
          <w:iCs/>
          <w:sz w:val="20"/>
          <w:szCs w:val="20"/>
        </w:rPr>
        <w:t xml:space="preserve"> </w:t>
      </w:r>
      <w:r w:rsidRPr="00214013">
        <w:rPr>
          <w:rFonts w:ascii="Verdana" w:hAnsi="Verdana" w:cs="Verdana"/>
          <w:color w:val="000000"/>
          <w:sz w:val="20"/>
          <w:szCs w:val="20"/>
        </w:rPr>
        <w:t>Продавец перечисляет обеспечительный платеж (часть обеспечительного платежа), оставшуюся после автоматического зачета в течение 1 (одного) месяца с даты подписания Акта приема-передачи либо государственной регистрации перехода права собственности на недвижимое имущество, в зависимости от того, что наступит позднее.</w:t>
      </w:r>
    </w:p>
    <w:p w14:paraId="3DA0783E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29D14C04" w14:textId="77777777" w:rsidTr="0028243F">
        <w:tc>
          <w:tcPr>
            <w:tcW w:w="2410" w:type="dxa"/>
          </w:tcPr>
          <w:p w14:paraId="5031C714" w14:textId="77808D01" w:rsidR="004440AF" w:rsidRPr="00214013" w:rsidRDefault="0028243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применяется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соблюдении следующих условий:</w:t>
            </w:r>
          </w:p>
          <w:p w14:paraId="3713E298" w14:textId="27DCBE79" w:rsidR="004440AF" w:rsidRPr="00214013" w:rsidRDefault="00FA1C2E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когда 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дата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передач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недвижимого имущества к Покупателю /государственн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регистрации перехода права собственности на недвижимое имущество к Покупателю 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отстоит от даты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поступления денежных средств, составляющих цену недвижимого имущества</w:t>
            </w:r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4E24C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на счет Продавца</w:t>
            </w:r>
            <w:r w:rsidR="005E1FE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361AE75F" w14:textId="015D9170" w:rsidR="0028243F" w:rsidRPr="00214013" w:rsidRDefault="00E95B69" w:rsidP="000703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</w:t>
            </w:r>
            <w:r w:rsidR="0068591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более 90 календарных дней и/или сумм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68591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денежных средств</w:t>
            </w:r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, составляющих цену </w:t>
            </w:r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недвижимого имущества (</w:t>
            </w:r>
            <w:proofErr w:type="spellStart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составляет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68591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более 3 </w:t>
            </w:r>
            <w:proofErr w:type="spellStart"/>
            <w:r w:rsidR="0068591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млн.руб</w:t>
            </w:r>
            <w:proofErr w:type="spellEnd"/>
            <w:r w:rsidR="0068591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6935" w:type="dxa"/>
          </w:tcPr>
          <w:p w14:paraId="412B00FA" w14:textId="16EB0E20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5D5DFD15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76A079C0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A1714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A17142" w:rsidRPr="00A1714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A1714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1929C3FC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A17142" w:rsidRPr="00A1714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A1714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A1714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4B441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рабочих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736099C8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1714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A1714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78375185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1714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A1714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17DBE6D4" w:rsidR="00046C89" w:rsidRPr="00214013" w:rsidRDefault="00046C89" w:rsidP="00A1714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A17142">
              <w:rPr>
                <w:rFonts w:ascii="Verdana" w:hAnsi="Verdana"/>
                <w:i/>
                <w:color w:val="0070C0"/>
                <w:sz w:val="20"/>
                <w:szCs w:val="20"/>
              </w:rPr>
              <w:t>3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432FACB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0FDEF3A" w14:textId="77777777" w:rsidR="00334366" w:rsidRPr="00214013" w:rsidRDefault="00334366" w:rsidP="003343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4BC4D51" w14:textId="58CF8878" w:rsidR="009C7E24" w:rsidRPr="00214013" w:rsidRDefault="00334366" w:rsidP="003343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146F8EE2" w:rsidR="00872ADB" w:rsidRPr="00334366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334366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334366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334366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334366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334366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1673EF" w:rsidRPr="00334366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334366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334366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334366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334366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334366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334366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334366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334366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334366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334366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334366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334366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334366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334366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334366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334366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334366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6E44D623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11. </w:t>
      </w:r>
      <w:r w:rsidR="005A225B" w:rsidRPr="0033436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ПРОЧИЕ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УСЛОВИЯ</w:t>
      </w:r>
    </w:p>
    <w:p w14:paraId="377DB5F0" w14:textId="77777777" w:rsidR="00163D0E" w:rsidRPr="00334366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34366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33436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334366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334366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hAnsi="Verdana"/>
          <w:sz w:val="20"/>
          <w:szCs w:val="20"/>
        </w:rPr>
        <w:t>11</w:t>
      </w:r>
      <w:r w:rsidR="00E30683" w:rsidRPr="003343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3C69BE86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366">
        <w:rPr>
          <w:rFonts w:ascii="Verdana" w:hAnsi="Verdana"/>
          <w:sz w:val="20"/>
          <w:szCs w:val="20"/>
        </w:rPr>
        <w:t>11</w:t>
      </w:r>
      <w:r w:rsidR="0055668A" w:rsidRPr="003343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314357D9" w:rsidR="00A30CA0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7F8DED14" w14:textId="5ADA2390" w:rsidR="00334366" w:rsidRPr="00214013" w:rsidRDefault="00334366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 xml:space="preserve">2 ПЕРЕЧЕНЬ ДОГОВОРОВ АРЕНДЫ </w:t>
      </w:r>
      <w:r w:rsidRPr="00214013">
        <w:rPr>
          <w:rFonts w:ascii="Verdana" w:hAnsi="Verdana"/>
          <w:sz w:val="20"/>
          <w:szCs w:val="20"/>
        </w:rPr>
        <w:t>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2D02135D" w14:textId="77777777" w:rsidTr="00BA1848">
        <w:tc>
          <w:tcPr>
            <w:tcW w:w="2094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35D11EF0" w:rsidR="00C76935" w:rsidRPr="00214013" w:rsidRDefault="00C76935" w:rsidP="00334366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334366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62B9DAB8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1CA2A5C4" w14:textId="31FA34F4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26BE045B" w14:textId="46765086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5E3D11DA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167C7563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3FB001AD" w14:textId="69FBD6E0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3B8C2C8B" w14:textId="5122E0F4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816A7" w:rsidRPr="00214013" w14:paraId="6581FF42" w14:textId="77777777" w:rsidTr="00334366">
        <w:tc>
          <w:tcPr>
            <w:tcW w:w="4678" w:type="dxa"/>
            <w:shd w:val="clear" w:color="auto" w:fill="auto"/>
          </w:tcPr>
          <w:p w14:paraId="3AE68C45" w14:textId="77777777" w:rsidR="00334366" w:rsidRDefault="00334366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45EAAA7" w14:textId="0FA4A8A5" w:rsidR="00334366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441D870D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3BD2C714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202C1D70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109004,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г.Москва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Можайский вал ул., д.8</w:t>
            </w:r>
          </w:p>
          <w:p w14:paraId="57721CFD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4FCF04CE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53F82615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71D9C5E6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4A89F354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2948B136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64C33A55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30A1C74A" w14:textId="77777777" w:rsidR="00334366" w:rsidRDefault="00334366" w:rsidP="003343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B95A46B" w14:textId="2F66C34A" w:rsidR="004816A7" w:rsidRPr="00214013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14:paraId="06D16122" w14:textId="622F9CAD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3E48173" w14:textId="77777777" w:rsidR="00334366" w:rsidRDefault="00334366" w:rsidP="0033436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D36227">
        <w:tc>
          <w:tcPr>
            <w:tcW w:w="1276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29F6051" w14:textId="740A944E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741743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741743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741743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741743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741743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741743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741743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741743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741743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</w:t>
                  </w:r>
                  <w:proofErr w:type="gram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_»_</w:t>
                  </w:r>
                  <w:proofErr w:type="gram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741743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741743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9FD9AF" w14:textId="77777777" w:rsidR="00670033" w:rsidRPr="009C7E24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3E10F372" w14:textId="77777777" w:rsidR="00334366" w:rsidRDefault="00334366" w:rsidP="00334366">
            <w:pPr>
              <w:pStyle w:val="a5"/>
              <w:ind w:left="0" w:firstLine="70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1.1. Нежилое помещение, кадастровый номер 61:45:0000129:173, общей площадью 599,5 </w:t>
            </w:r>
            <w:proofErr w:type="spellStart"/>
            <w:r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/>
                <w:color w:val="000000" w:themeColor="text1"/>
              </w:rPr>
              <w:t xml:space="preserve">., расположенное на первом этаже жилого дома, адрес (местонахождение): Россия, Ростовская обл., г. Азов, пл. Петровская, 5/30 </w:t>
            </w:r>
          </w:p>
          <w:p w14:paraId="2B5833B5" w14:textId="77777777" w:rsidR="00334366" w:rsidRDefault="00334366" w:rsidP="00334366">
            <w:pPr>
              <w:pStyle w:val="a5"/>
              <w:ind w:left="0" w:firstLine="70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1.2.   Движимое имущество:</w:t>
            </w:r>
          </w:p>
          <w:p w14:paraId="71C471AE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Тепловая завеса ТРОПИК М6, инв.№ 0442-00380;</w:t>
            </w:r>
          </w:p>
          <w:p w14:paraId="184A12A1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0442-00381;</w:t>
            </w:r>
          </w:p>
          <w:p w14:paraId="6CB96C0C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0442-00386;</w:t>
            </w:r>
          </w:p>
          <w:p w14:paraId="20730617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lastRenderedPageBreak/>
              <w:t>Кондиционер, инв.№ 0442-00387;</w:t>
            </w:r>
          </w:p>
          <w:p w14:paraId="77BD7266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0442-00388;</w:t>
            </w:r>
          </w:p>
          <w:p w14:paraId="39DAAF49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0442-00390;</w:t>
            </w:r>
          </w:p>
          <w:p w14:paraId="158363A8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0442-00391;</w:t>
            </w:r>
          </w:p>
          <w:p w14:paraId="6C92D93A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0442-00595;</w:t>
            </w:r>
          </w:p>
          <w:p w14:paraId="58A484EC" w14:textId="77777777" w:rsidR="00334366" w:rsidRDefault="00334366" w:rsidP="00334366">
            <w:pPr>
              <w:pStyle w:val="a5"/>
              <w:numPr>
                <w:ilvl w:val="0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Система ОПС Азов, инв. № 0442-02113;</w:t>
            </w:r>
          </w:p>
          <w:p w14:paraId="52686F01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13AB57A" w14:textId="77777777" w:rsidR="00AD3DBE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  <w:r w:rsidR="00AD3DBE">
              <w:t xml:space="preserve"> </w:t>
            </w:r>
          </w:p>
          <w:p w14:paraId="0B7753A8" w14:textId="47167B4B" w:rsidR="00670033" w:rsidRPr="009C7E24" w:rsidRDefault="00AD3D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3D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35570D58" w14:textId="77777777" w:rsidR="0024399C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  <w:p w14:paraId="286D8A95" w14:textId="15749A7B" w:rsidR="00AD3DBE" w:rsidRPr="009C7E24" w:rsidRDefault="00AD3D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4399C" w:rsidRPr="002370E0" w14:paraId="512075F3" w14:textId="77777777" w:rsidTr="00D36227">
        <w:tc>
          <w:tcPr>
            <w:tcW w:w="1276" w:type="dxa"/>
            <w:shd w:val="clear" w:color="auto" w:fill="auto"/>
          </w:tcPr>
          <w:p w14:paraId="319C372D" w14:textId="21195D31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3FF36241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030B5A80" w14:textId="6C74EEE4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59B8151" w14:textId="4AA5145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694C1050" w14:textId="77777777" w:rsidR="00334366" w:rsidRDefault="00334366" w:rsidP="00334366">
            <w:pPr>
              <w:pStyle w:val="a5"/>
              <w:ind w:left="0" w:firstLine="70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1.1. Нежилое помещение, кадастровый номер 61:45:0000129:173, общей площадью 599,5 </w:t>
            </w:r>
            <w:proofErr w:type="spellStart"/>
            <w:r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/>
                <w:color w:val="000000" w:themeColor="text1"/>
              </w:rPr>
              <w:t xml:space="preserve">., расположенное на первом этаже жилого дома, адрес (местонахождение): Россия, Ростовская обл., г. Азов, пл. Петровская, 5/30 </w:t>
            </w:r>
          </w:p>
          <w:p w14:paraId="261ACDA4" w14:textId="77777777" w:rsidR="00334366" w:rsidRDefault="00334366" w:rsidP="00334366">
            <w:pPr>
              <w:pStyle w:val="a5"/>
              <w:ind w:left="0" w:firstLine="70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1.2.   Движимое имущество:</w:t>
            </w:r>
          </w:p>
          <w:p w14:paraId="6D4FDABA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Тепловая завеса ТРОПИК М6, инв.№ 0442-00380;</w:t>
            </w:r>
          </w:p>
          <w:p w14:paraId="2B86FCB8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0442-00381;</w:t>
            </w:r>
          </w:p>
          <w:p w14:paraId="7499EF17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0442-00386;</w:t>
            </w:r>
          </w:p>
          <w:p w14:paraId="507633CD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0442-00387;</w:t>
            </w:r>
          </w:p>
          <w:p w14:paraId="61AE0F6B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0442-00388;</w:t>
            </w:r>
          </w:p>
          <w:p w14:paraId="6D9274CE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0442-00390;</w:t>
            </w:r>
          </w:p>
          <w:p w14:paraId="2697E31F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0442-00391;</w:t>
            </w:r>
          </w:p>
          <w:p w14:paraId="2BF0DF79" w14:textId="77777777" w:rsidR="00334366" w:rsidRDefault="00334366" w:rsidP="00334366">
            <w:pPr>
              <w:pStyle w:val="a5"/>
              <w:numPr>
                <w:ilvl w:val="2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Кондиционер, инв.№ 0442-00595;</w:t>
            </w:r>
          </w:p>
          <w:p w14:paraId="52B9FC2C" w14:textId="77777777" w:rsidR="00334366" w:rsidRDefault="00334366" w:rsidP="00334366">
            <w:pPr>
              <w:pStyle w:val="a5"/>
              <w:numPr>
                <w:ilvl w:val="0"/>
                <w:numId w:val="35"/>
              </w:numPr>
              <w:ind w:left="1560" w:hanging="425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Система ОПС Азов, инв. № 0442-02113;</w:t>
            </w:r>
          </w:p>
          <w:p w14:paraId="4608B462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6FCE2A6" w14:textId="5623119C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  <w:r w:rsidR="00AD3DBE" w:rsidRPr="00AD3D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</w:t>
            </w:r>
            <w:r w:rsidR="00AD3D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0D37BE" w14:textId="5392B1D1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наличии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7CD8B05E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63EED8F2" w14:textId="77777777" w:rsidR="00334366" w:rsidRPr="00214013" w:rsidRDefault="00334366" w:rsidP="0033436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№2</w:t>
      </w:r>
    </w:p>
    <w:p w14:paraId="5D05AD34" w14:textId="77777777" w:rsidR="00334366" w:rsidRPr="00214013" w:rsidRDefault="00334366" w:rsidP="00334366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DD2964E" w14:textId="77777777" w:rsidR="00334366" w:rsidRPr="00214013" w:rsidRDefault="00334366" w:rsidP="00334366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52DD1630" w14:textId="77777777" w:rsidR="00334366" w:rsidRPr="00214013" w:rsidRDefault="00334366" w:rsidP="00334366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6A8FFD7" w14:textId="77777777" w:rsidR="00334366" w:rsidRPr="00214013" w:rsidRDefault="00334366" w:rsidP="00334366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ДОГОВОРОВ АРЕНДЫ/СУБАРЕНДЫ </w:t>
      </w:r>
    </w:p>
    <w:p w14:paraId="1C6B8AC3" w14:textId="77777777" w:rsidR="00334366" w:rsidRPr="00214013" w:rsidRDefault="00334366" w:rsidP="00334366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64B72265" w14:textId="77777777" w:rsidR="00334366" w:rsidRPr="00214013" w:rsidRDefault="00334366" w:rsidP="00334366">
      <w:pPr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p w14:paraId="60AF6870" w14:textId="77777777" w:rsidR="00334366" w:rsidRPr="00214013" w:rsidRDefault="00334366" w:rsidP="00334366">
      <w:pPr>
        <w:jc w:val="both"/>
        <w:rPr>
          <w:rFonts w:ascii="Verdana" w:hAnsi="Verdana"/>
          <w:sz w:val="20"/>
          <w:szCs w:val="20"/>
        </w:rPr>
      </w:pPr>
    </w:p>
    <w:p w14:paraId="4446722B" w14:textId="77777777" w:rsidR="00334366" w:rsidRPr="00214013" w:rsidRDefault="00334366" w:rsidP="0033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D96C186" w14:textId="77777777" w:rsidR="00334366" w:rsidRPr="00214013" w:rsidRDefault="00334366" w:rsidP="0033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B8B0CB7" w14:textId="77777777" w:rsidR="00334366" w:rsidRPr="00214013" w:rsidRDefault="00334366" w:rsidP="003343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073BCEC" w14:textId="77777777" w:rsidR="00334366" w:rsidRPr="00214013" w:rsidRDefault="00334366" w:rsidP="003343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132367B4" w14:textId="77777777" w:rsidR="00334366" w:rsidRPr="00214013" w:rsidRDefault="00334366" w:rsidP="0033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04E202F" w14:textId="77777777" w:rsidR="00334366" w:rsidRPr="00214013" w:rsidRDefault="00334366" w:rsidP="0033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3582F7" w14:textId="77777777" w:rsidR="00334366" w:rsidRPr="00214013" w:rsidRDefault="00334366" w:rsidP="0033436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FEE1A0A" w14:textId="77777777" w:rsidR="00334366" w:rsidRPr="00214013" w:rsidRDefault="00334366" w:rsidP="003343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C69E971" w14:textId="77777777" w:rsidR="00334366" w:rsidRPr="00214013" w:rsidRDefault="00334366" w:rsidP="003343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62D7EF9" w14:textId="77777777" w:rsidR="00334366" w:rsidRPr="00214013" w:rsidRDefault="00334366" w:rsidP="003343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24FAEE9" w14:textId="4A728764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C0F22D" w14:textId="40D1A5DC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4B772" w14:textId="3160EC33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524095" w14:textId="222D4CA5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E20AEB" w14:textId="0B0FC42F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E600EF" w14:textId="4F55A464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906380" w14:textId="209DCDB9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E9F44B" w14:textId="612CACFA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F4D3A2" w14:textId="48CDA8C7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D0A36D" w14:textId="16FDD058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2E90E5" w14:textId="40B1F946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B4DB7C" w14:textId="43492D3D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594D42" w14:textId="78C020CE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B77871" w14:textId="3FF4BBB0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D1222F" w14:textId="5DCA7D92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40333D" w14:textId="392F1CCB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7062D3" w14:textId="329D4CED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9CFEE1" w14:textId="26D2F0CE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6CE768" w14:textId="0BA35603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276F22" w14:textId="244C4998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B02277" w14:textId="6747BCE7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26E5A0" w14:textId="74D3AB53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6086F6" w14:textId="0BEDE79F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DB6D38" w14:textId="0A81CA3B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3801E4" w14:textId="77777777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90F93B" w14:textId="74415865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E92370" w14:textId="5960255F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869044" w14:textId="78415E4A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CB3D88" w14:textId="4F3C0FA5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311910" w14:textId="5AB02D7B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CDBD3F" w14:textId="60DFB2B1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D71C47" w14:textId="61AE6C66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817392" w14:textId="19DCAF2F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3958D1" w14:textId="2ED75D3F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211574" w14:textId="6101F81F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98B3E0" w14:textId="61C18601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3ED16B" w14:textId="4DFDBD04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492B5B" w14:textId="2E1ABF81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31924D" w14:textId="23B4CB57" w:rsidR="00334366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E9963B" w14:textId="77777777" w:rsidR="00334366" w:rsidRPr="00214013" w:rsidRDefault="00334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65033779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334366">
        <w:rPr>
          <w:rFonts w:ascii="Verdana" w:hAnsi="Verdana"/>
          <w:sz w:val="20"/>
          <w:szCs w:val="20"/>
        </w:rPr>
        <w:t>3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600CAD65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164DBF9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557C8F4" w14:textId="1749F135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34366">
        <w:rPr>
          <w:rFonts w:ascii="Verdana" w:eastAsia="SimSun" w:hAnsi="Verdana"/>
          <w:kern w:val="1"/>
          <w:lang w:eastAsia="hi-IN" w:bidi="hi-IN"/>
        </w:rPr>
        <w:t>60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C52F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7EB298C4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9B945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>________________</w:t>
      </w:r>
      <w:proofErr w:type="gramStart"/>
      <w:r w:rsidRPr="00214013">
        <w:rPr>
          <w:rFonts w:ascii="Verdana" w:hAnsi="Verdana"/>
          <w:i/>
          <w:color w:val="0070C0"/>
        </w:rPr>
        <w:t>_(</w:t>
      </w:r>
      <w:proofErr w:type="gramEnd"/>
      <w:r w:rsidRPr="00214013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F9667E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81CFFC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B8C6C4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214013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214013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7521A49F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32027318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214013">
        <w:rPr>
          <w:rFonts w:ascii="Verdana" w:eastAsia="Calibri" w:hAnsi="Verdana" w:cs="Arial"/>
        </w:rPr>
        <w:t>в Исполняющий</w:t>
      </w:r>
      <w:proofErr w:type="gramEnd"/>
      <w:r w:rsidRPr="00214013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4695059F" w:rsidR="00686D08" w:rsidRPr="00214013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601ABA5F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3B38620" w14:textId="56E52512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92D76D4" w14:textId="599A8E7B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5C66C7" w:rsidRPr="00214013">
              <w:rPr>
                <w:rFonts w:ascii="Verdana" w:hAnsi="Verdana" w:cs="Verdana"/>
                <w:vertAlign w:val="superscript"/>
              </w:rPr>
              <w:t>2</w:t>
            </w:r>
            <w:r w:rsidR="000F187D"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4F3A6737" w:rsidR="001C7A73" w:rsidRPr="00214013" w:rsidRDefault="00334366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</w:t>
      </w:r>
      <w:r w:rsidR="001C7A73" w:rsidRPr="00214013">
        <w:rPr>
          <w:rFonts w:ascii="Verdana" w:hAnsi="Verdana"/>
          <w:sz w:val="20"/>
          <w:szCs w:val="20"/>
        </w:rPr>
        <w:t>ожение №___</w:t>
      </w:r>
      <w:r w:rsidR="00986EFF" w:rsidRPr="00214013">
        <w:rPr>
          <w:rStyle w:val="af4"/>
          <w:rFonts w:ascii="Verdana" w:hAnsi="Verdana"/>
          <w:sz w:val="20"/>
          <w:szCs w:val="20"/>
        </w:rPr>
        <w:footnoteReference w:id="8"/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т.ч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т.ч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бенефициарного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бенефициарного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="001C7A73" w:rsidRPr="00214013">
              <w:rPr>
                <w:rFonts w:ascii="Verdana" w:hAnsi="Verdana" w:cs="Verdana"/>
                <w:iCs/>
              </w:rPr>
              <w:t>бенефициарного</w:t>
            </w:r>
            <w:proofErr w:type="spellEnd"/>
            <w:r w:rsidR="001C7A73" w:rsidRPr="00214013">
              <w:rPr>
                <w:rFonts w:ascii="Verdana" w:hAnsi="Verdana" w:cs="Verdana"/>
                <w:iCs/>
              </w:rPr>
              <w:t xml:space="preserve">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AB1E0" w16cid:durableId="28063C14"/>
  <w16cid:commentId w16cid:paraId="527DA12C" w16cid:durableId="2807A655"/>
  <w16cid:commentId w16cid:paraId="36B739CD" w16cid:durableId="2807A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EC9BB" w14:textId="77777777" w:rsidR="00741743" w:rsidRDefault="00741743" w:rsidP="00E33D4F">
      <w:pPr>
        <w:spacing w:after="0" w:line="240" w:lineRule="auto"/>
      </w:pPr>
      <w:r>
        <w:separator/>
      </w:r>
    </w:p>
  </w:endnote>
  <w:endnote w:type="continuationSeparator" w:id="0">
    <w:p w14:paraId="287E93D1" w14:textId="77777777" w:rsidR="00741743" w:rsidRDefault="0074174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172B1045" w:rsidR="00741743" w:rsidRDefault="0074174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E1D">
          <w:rPr>
            <w:noProof/>
          </w:rPr>
          <w:t>18</w:t>
        </w:r>
        <w:r>
          <w:fldChar w:fldCharType="end"/>
        </w:r>
      </w:p>
    </w:sdtContent>
  </w:sdt>
  <w:p w14:paraId="3937936F" w14:textId="77777777" w:rsidR="00741743" w:rsidRDefault="007417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762E" w14:textId="77777777" w:rsidR="00741743" w:rsidRDefault="00741743" w:rsidP="00E33D4F">
      <w:pPr>
        <w:spacing w:after="0" w:line="240" w:lineRule="auto"/>
      </w:pPr>
      <w:r>
        <w:separator/>
      </w:r>
    </w:p>
  </w:footnote>
  <w:footnote w:type="continuationSeparator" w:id="0">
    <w:p w14:paraId="3B2A61A1" w14:textId="77777777" w:rsidR="00741743" w:rsidRDefault="00741743" w:rsidP="00E33D4F">
      <w:pPr>
        <w:spacing w:after="0" w:line="240" w:lineRule="auto"/>
      </w:pPr>
      <w:r>
        <w:continuationSeparator/>
      </w:r>
    </w:p>
  </w:footnote>
  <w:footnote w:id="1">
    <w:p w14:paraId="223701D1" w14:textId="77777777" w:rsidR="00741743" w:rsidRPr="00010D96" w:rsidRDefault="00741743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334D6540" w14:textId="77777777" w:rsidR="00741743" w:rsidRPr="00010D96" w:rsidRDefault="00741743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B32162D" w14:textId="77777777" w:rsidR="00741743" w:rsidRPr="00010D96" w:rsidRDefault="00741743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6C2CC5E2" w14:textId="07BD5DD9" w:rsidR="00741743" w:rsidRPr="00010D96" w:rsidRDefault="00741743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37C98751" w14:textId="77777777" w:rsidR="00741743" w:rsidRPr="00010D96" w:rsidRDefault="00741743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5">
    <w:p w14:paraId="49590DCF" w14:textId="14C9A40F" w:rsidR="00741743" w:rsidRPr="00010D96" w:rsidRDefault="00741743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6">
    <w:p w14:paraId="2DFA9F53" w14:textId="66790770" w:rsidR="00741743" w:rsidRPr="00010D96" w:rsidRDefault="00741743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14:paraId="431CDD5F" w14:textId="77777777" w:rsidR="00741743" w:rsidRPr="00010D96" w:rsidRDefault="00741743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8">
    <w:p w14:paraId="477AB402" w14:textId="16F877EE" w:rsidR="00741743" w:rsidRPr="00010D96" w:rsidRDefault="00741743" w:rsidP="00961A70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9">
    <w:p w14:paraId="49588B64" w14:textId="77777777" w:rsidR="00741743" w:rsidRPr="00737CC6" w:rsidRDefault="00741743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2F32412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3102649"/>
    <w:multiLevelType w:val="hybridMultilevel"/>
    <w:tmpl w:val="F2622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5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1"/>
  </w:num>
  <w:num w:numId="14">
    <w:abstractNumId w:val="4"/>
  </w:num>
  <w:num w:numId="15">
    <w:abstractNumId w:val="0"/>
  </w:num>
  <w:num w:numId="16">
    <w:abstractNumId w:val="13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5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7"/>
  </w:num>
  <w:num w:numId="34">
    <w:abstractNumId w:val="17"/>
  </w:num>
  <w:num w:numId="35">
    <w:abstractNumId w:val="12"/>
  </w:num>
  <w:num w:numId="3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265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420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1E1D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366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410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1743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142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9E9"/>
    <w:rsid w:val="00AC5EDA"/>
    <w:rsid w:val="00AC6801"/>
    <w:rsid w:val="00AC74CB"/>
    <w:rsid w:val="00AC75D2"/>
    <w:rsid w:val="00AC7C74"/>
    <w:rsid w:val="00AD04A2"/>
    <w:rsid w:val="00AD3DBE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BC58-7550-4406-903F-D690F192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6913</Words>
  <Characters>39409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20</cp:revision>
  <cp:lastPrinted>2023-06-01T09:09:00Z</cp:lastPrinted>
  <dcterms:created xsi:type="dcterms:W3CDTF">2023-05-18T09:53:00Z</dcterms:created>
  <dcterms:modified xsi:type="dcterms:W3CDTF">2023-07-13T15:35:00Z</dcterms:modified>
</cp:coreProperties>
</file>