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37620433" w:rsidR="003345D2" w:rsidRPr="006A5588" w:rsidRDefault="00B83979" w:rsidP="006A5588">
      <w:pPr>
        <w:pStyle w:val="af"/>
        <w:jc w:val="both"/>
      </w:pPr>
      <w:r w:rsidRPr="00214013">
        <w:rPr>
          <w:rFonts w:ascii="Verdana" w:eastAsia="Times New Roman" w:hAnsi="Verdana" w:cs="Times New Roman"/>
          <w:lang w:eastAsia="ru-RU"/>
        </w:rPr>
        <w:t xml:space="preserve"> именуемый в дальнейшем </w:t>
      </w:r>
      <w:r w:rsidRPr="006A5588">
        <w:rPr>
          <w:rFonts w:ascii="Verdana" w:eastAsia="Times New Roman" w:hAnsi="Verdana" w:cs="Times New Roman"/>
          <w:b/>
          <w:lang w:eastAsia="ru-RU"/>
        </w:rPr>
        <w:t>«</w:t>
      </w:r>
      <w:r w:rsidR="00857300" w:rsidRPr="006A5588">
        <w:rPr>
          <w:rFonts w:ascii="Verdana" w:eastAsia="Times New Roman" w:hAnsi="Verdana" w:cs="Times New Roman"/>
          <w:b/>
          <w:lang w:eastAsia="ru-RU"/>
        </w:rPr>
        <w:t>Покупатель</w:t>
      </w:r>
      <w:r w:rsidRPr="006A5588">
        <w:rPr>
          <w:rFonts w:ascii="Verdana" w:eastAsia="Times New Roman" w:hAnsi="Verdana" w:cs="Times New Roman"/>
          <w:b/>
          <w:lang w:eastAsia="ru-RU"/>
        </w:rPr>
        <w:t>»</w:t>
      </w:r>
      <w:r w:rsidRPr="00214013">
        <w:rPr>
          <w:rFonts w:ascii="Verdana" w:eastAsia="Times New Roman" w:hAnsi="Verdana" w:cs="Times New Roman"/>
          <w:lang w:eastAsia="ru-RU"/>
        </w:rPr>
        <w:t xml:space="preserve">, с другой стороны, совместно именуемые </w:t>
      </w:r>
      <w:r w:rsidRPr="006A5588">
        <w:rPr>
          <w:rFonts w:ascii="Verdana" w:eastAsia="Times New Roman" w:hAnsi="Verdana" w:cs="Times New Roman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lang w:eastAsia="ru-RU"/>
        </w:rPr>
        <w:t xml:space="preserve">, а каждый в отдельности </w:t>
      </w:r>
      <w:r w:rsidRPr="006A5588">
        <w:rPr>
          <w:rFonts w:ascii="Verdana" w:eastAsia="Times New Roman" w:hAnsi="Verdana" w:cs="Times New Roman"/>
          <w:b/>
          <w:lang w:eastAsia="ru-RU"/>
        </w:rPr>
        <w:t>«Сторона»,</w:t>
      </w:r>
      <w:r w:rsidR="003345D2" w:rsidRPr="003345D2">
        <w:rPr>
          <w:rFonts w:ascii="Verdana" w:eastAsia="Times New Roman" w:hAnsi="Verdana" w:cs="Times New Roman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lang w:eastAsia="ru-RU"/>
        </w:rPr>
        <w:t xml:space="preserve">на основании </w:t>
      </w:r>
      <w:r w:rsidR="003345D2" w:rsidRPr="006A5588">
        <w:rPr>
          <w:rFonts w:ascii="Verdana" w:eastAsia="Times New Roman" w:hAnsi="Verdana" w:cs="Times New Roman"/>
          <w:lang w:eastAsia="ru-RU"/>
        </w:rPr>
        <w:t>Протокола</w:t>
      </w:r>
      <w:r w:rsidR="006A5588" w:rsidRPr="006A5588">
        <w:rPr>
          <w:rFonts w:ascii="Verdana" w:eastAsia="Times New Roman" w:hAnsi="Verdana" w:cs="Times New Roman"/>
          <w:lang w:eastAsia="ru-RU"/>
        </w:rPr>
        <w:t xml:space="preserve"> (указывается наименование и реквизиты документа, оформленного по итогам процедуры торгов)</w:t>
      </w:r>
      <w:r w:rsidR="00BA584B" w:rsidRPr="006A5588">
        <w:rPr>
          <w:rFonts w:ascii="Verdana" w:eastAsia="Times New Roman" w:hAnsi="Verdana" w:cs="Times New Roman"/>
          <w:lang w:eastAsia="ru-RU"/>
        </w:rPr>
        <w:t xml:space="preserve"> _______</w:t>
      </w:r>
      <w:r w:rsidR="003345D2" w:rsidRPr="006A5588">
        <w:rPr>
          <w:rFonts w:ascii="Verdana" w:eastAsia="Times New Roman" w:hAnsi="Verdana" w:cs="Times New Roman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50488601" w:rsidR="00D911F0" w:rsidRPr="00A1349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949A9EF" w14:textId="77777777" w:rsidR="00A1349F" w:rsidRPr="00A1349F" w:rsidRDefault="00A1349F" w:rsidP="00A134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4F3E2952" w14:textId="607D1BE3" w:rsidR="00091D87" w:rsidRPr="003469A0" w:rsidRDefault="00091D87" w:rsidP="00091D87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Торговый павильон с кадастровым номером: 63:09:0302051:3483</w:t>
      </w:r>
      <w:r w:rsidR="00696714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143.7 </w:t>
      </w:r>
      <w:r w:rsidR="00696714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кв. м., назначение: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нежилое, этаж</w:t>
      </w:r>
      <w:r w:rsidR="00696714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8E4DD1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2,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696714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расположенн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ый</w:t>
      </w:r>
      <w:r w:rsidR="00696714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по адресу</w:t>
      </w:r>
      <w:r w:rsidR="008E4DD1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: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Самарская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область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г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Тольятти</w:t>
      </w:r>
      <w:proofErr w:type="spellEnd"/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ул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Базовая</w:t>
      </w:r>
      <w:proofErr w:type="spellEnd"/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д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.4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А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пом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.1 (</w:t>
      </w:r>
      <w:r w:rsidR="00BA264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-1»)</w:t>
      </w:r>
      <w:r w:rsidR="008E4DD1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;</w:t>
      </w:r>
    </w:p>
    <w:p w14:paraId="18700EF6" w14:textId="17ED3616" w:rsidR="008E4DD1" w:rsidRPr="003469A0" w:rsidRDefault="00091D87" w:rsidP="00091D87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½ доля в праве общей долевой собственности на торговый павильон с кадастровым номером</w:t>
      </w:r>
      <w:r w:rsidR="00A1349F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8E4DD1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63:09:0302051:3484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28.1 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кв. м.,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назначение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A1349F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нежилое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,</w:t>
      </w:r>
      <w:r w:rsidR="00A1349F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этаж:2, 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расположенн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ый</w:t>
      </w:r>
      <w:r w:rsidR="00C60CED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по адресу</w:t>
      </w:r>
      <w:r w:rsidR="000B50C9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: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Самарская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область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г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</w:t>
      </w:r>
      <w:r w:rsidR="000B50C9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Тольятти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ул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</w:t>
      </w:r>
      <w:r w:rsidR="000B50C9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Базовая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д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.4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А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</w:t>
      </w:r>
      <w:r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ком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.2,4,5,7 </w:t>
      </w:r>
      <w:r w:rsidR="008E4DD1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BA264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lastRenderedPageBreak/>
        <w:t>(«Объект -2»)</w:t>
      </w:r>
      <w:r w:rsidR="00891F8C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171986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(далее</w:t>
      </w:r>
      <w:r w:rsidR="00BA264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именуемое – «</w:t>
      </w:r>
      <w:r w:rsidR="00A1349F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</w:t>
      </w:r>
      <w:r w:rsidR="00171986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едвижимое имущество»).</w:t>
      </w:r>
    </w:p>
    <w:p w14:paraId="1ABA0D0B" w14:textId="2083F023" w:rsidR="00420A85" w:rsidRPr="00F5748A" w:rsidRDefault="002E52CD" w:rsidP="00F5748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A1349F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</w:t>
      </w:r>
      <w:r w:rsidR="007165FE">
        <w:rPr>
          <w:rFonts w:ascii="Verdana" w:hAnsi="Verdana" w:cs="Times New Roman"/>
          <w:color w:val="000000" w:themeColor="text1"/>
        </w:rPr>
        <w:t>,</w:t>
      </w:r>
      <w:r w:rsidRPr="00A1349F">
        <w:rPr>
          <w:rFonts w:ascii="Verdana" w:hAnsi="Verdana" w:cs="Times New Roman"/>
          <w:color w:val="000000" w:themeColor="text1"/>
        </w:rPr>
        <w:t xml:space="preserve"> о чем в Едином государственном реестре недвижимости сделана запись о регистрации:</w:t>
      </w:r>
    </w:p>
    <w:p w14:paraId="2AC3D46D" w14:textId="1EC49001" w:rsidR="00465499" w:rsidRPr="00DE1E37" w:rsidRDefault="006C2E44" w:rsidP="00DE1E37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 1</w:t>
      </w:r>
      <w:r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: </w:t>
      </w:r>
      <w:r w:rsidR="00DE1E37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государственн</w:t>
      </w:r>
      <w:r w:rsid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ая регистрация</w:t>
      </w:r>
      <w:r w:rsidR="00DE1E37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права </w:t>
      </w:r>
      <w:proofErr w:type="gramStart"/>
      <w:r w:rsidR="00DE1E37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с</w:t>
      </w:r>
      <w:r w:rsidR="00FB130E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обственност</w:t>
      </w:r>
      <w:r w:rsidR="00DE1E37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и</w:t>
      </w:r>
      <w:r w:rsid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№</w:t>
      </w:r>
      <w:proofErr w:type="gramEnd"/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63:09:0302051:3483-63/009/2019-2</w:t>
      </w:r>
      <w:r w:rsidR="00FB130E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от</w:t>
      </w:r>
      <w:r w:rsidR="00A240C2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12.11.2019 г.</w:t>
      </w:r>
      <w:r w:rsidR="00FB130E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, что подтверждается Выпиской из Единого государственного реестра недвижимости от 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02.06.2023</w:t>
      </w:r>
      <w:r w:rsidR="00CE1D8B" w:rsidRPr="00DE1E37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г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. </w:t>
      </w:r>
      <w:r w:rsidR="00CE1D8B" w:rsidRPr="00DE1E37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№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CE1D8B" w:rsidRPr="00DE1E37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КУВИ</w:t>
      </w:r>
      <w:r w:rsidR="00CE1D8B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-001/2023-127914243</w:t>
      </w:r>
      <w:r w:rsidR="00FB130E" w:rsidRP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;</w:t>
      </w:r>
    </w:p>
    <w:p w14:paraId="305131BF" w14:textId="673B8B48" w:rsidR="00FB130E" w:rsidRPr="003469A0" w:rsidRDefault="00F5748A" w:rsidP="00FB130E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 2</w:t>
      </w:r>
      <w:r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: </w:t>
      </w:r>
      <w:r w:rsid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государственная регистрация о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бщ</w:t>
      </w:r>
      <w:r w:rsid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ей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долев</w:t>
      </w:r>
      <w:r w:rsidR="00DE1E37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ой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собственность </w:t>
      </w:r>
      <w:r w:rsidR="00FB130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№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63:09:0302051:3484-63/009/2019-5 </w:t>
      </w:r>
      <w:r w:rsidR="00FB130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от 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26.11.2019 </w:t>
      </w:r>
      <w:r w:rsidR="00FB130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г., что подтверждается Выпиской из Единого государственного реестра недвижимости от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02.06.2023</w:t>
      </w:r>
      <w:r w:rsidR="007165FE"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г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. </w:t>
      </w:r>
      <w:r w:rsidR="007165FE"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№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7165FE" w:rsidRPr="003469A0">
        <w:rPr>
          <w:rFonts w:ascii="Verdana" w:eastAsia="Times New Roman" w:hAnsi="Verdana" w:hint="eastAsia"/>
          <w:b/>
          <w:color w:val="000000" w:themeColor="text1"/>
          <w:sz w:val="20"/>
          <w:szCs w:val="20"/>
          <w:lang w:eastAsia="ru-RU"/>
        </w:rPr>
        <w:t>КУВИ</w:t>
      </w:r>
      <w:r w:rsidR="007165FE" w:rsidRPr="003469A0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-001/2023-127913725.</w:t>
      </w:r>
    </w:p>
    <w:p w14:paraId="2DAD6299" w14:textId="30963D10" w:rsidR="00EC00BF" w:rsidRPr="0088736C" w:rsidRDefault="00EC00BF" w:rsidP="00DE1E37">
      <w:pPr>
        <w:pStyle w:val="Default"/>
        <w:ind w:firstLine="714"/>
        <w:jc w:val="both"/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hAnsi="Verdana"/>
          <w:color w:val="000000" w:themeColor="text1"/>
          <w:sz w:val="20"/>
          <w:szCs w:val="20"/>
        </w:rPr>
        <w:t>1.2.1.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E1E37" w:rsidRPr="00DE1E37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116E822D" w:rsidR="00761DF7" w:rsidRDefault="00B826F0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DD3A74F" w14:textId="2DBFE9CB" w:rsidR="00EC00BF" w:rsidRDefault="00FB130E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</w:t>
      </w:r>
      <w:r w:rsidR="003F6282">
        <w:rPr>
          <w:rFonts w:ascii="Verdana" w:hAnsi="Verdana"/>
        </w:rPr>
        <w:t>1</w:t>
      </w:r>
      <w:r>
        <w:rPr>
          <w:rFonts w:ascii="Verdana" w:hAnsi="Verdana"/>
        </w:rPr>
        <w:t>.</w:t>
      </w:r>
      <w:r w:rsidR="00B77100">
        <w:rPr>
          <w:rFonts w:ascii="Verdana" w:hAnsi="Verdana"/>
        </w:rPr>
        <w:t xml:space="preserve"> </w:t>
      </w:r>
      <w:r w:rsidR="00EC00BF" w:rsidRPr="008E4DD1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451D319F" w14:textId="47591CB8" w:rsidR="003F6282" w:rsidRDefault="003F6282" w:rsidP="003F628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3F6282">
        <w:rPr>
          <w:rFonts w:ascii="Verdana" w:hAnsi="Verdana"/>
        </w:rPr>
        <w:t>1.5.2.</w:t>
      </w:r>
      <w:r w:rsidR="00DE1E37">
        <w:rPr>
          <w:rFonts w:ascii="Verdana" w:hAnsi="Verdana"/>
        </w:rPr>
        <w:t xml:space="preserve"> </w:t>
      </w:r>
      <w:r w:rsidR="00C2077C">
        <w:rPr>
          <w:rFonts w:ascii="Verdana" w:hAnsi="Verdana"/>
        </w:rPr>
        <w:t>Стороны пришли к соглашению</w:t>
      </w:r>
      <w:r w:rsidRPr="003F6282">
        <w:rPr>
          <w:rFonts w:ascii="Verdana" w:hAnsi="Verdana"/>
        </w:rPr>
        <w:t xml:space="preserve">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</w:t>
      </w:r>
      <w:r w:rsidR="00C2077C">
        <w:rPr>
          <w:rFonts w:ascii="Verdana" w:hAnsi="Verdana"/>
        </w:rPr>
        <w:t>настоящему договору</w:t>
      </w:r>
      <w:r w:rsidRPr="003F6282">
        <w:rPr>
          <w:rFonts w:ascii="Verdana" w:hAnsi="Verdana"/>
        </w:rPr>
        <w:t xml:space="preserve"> возникнут в случае, если собственник второй доли в праве общей долевой собственности на нежилое помещение общей площадью 28,1 кв. м (этаж: 2, комнаты №№ 2, 4, 5, 7), кадастровый номер: 63:09:0302051:3484 откажется от преимущественного права покупки недвижимого имущества (заявив письменный отказ от преимущественного права покупки или не уведомив в письменной форме Продавца о намерении приобрести </w:t>
      </w:r>
      <w:r w:rsidRPr="003F6282">
        <w:rPr>
          <w:rFonts w:ascii="Verdana" w:hAnsi="Verdana"/>
        </w:rPr>
        <w:lastRenderedPageBreak/>
        <w:t xml:space="preserve">недвижимого имущества в течение 30 (Тридцати) дней со дня поступления извещения Продавца о намерении продать недвижимое имущество). В случае не наступления отлагательного условия отношения Сторон прекращаются. </w:t>
      </w:r>
    </w:p>
    <w:p w14:paraId="210B2ED7" w14:textId="1C0D7D1D" w:rsidR="00665FF5" w:rsidRPr="006A5588" w:rsidRDefault="00665FF5" w:rsidP="006A558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>1.5.3</w:t>
      </w:r>
      <w:r>
        <w:rPr>
          <w:rFonts w:ascii="Verdana" w:eastAsia="Times New Roman" w:hAnsi="Verdana" w:cs="Arial"/>
          <w:sz w:val="20"/>
          <w:szCs w:val="20"/>
          <w:lang w:eastAsia="ru-RU"/>
        </w:rPr>
        <w:t>.</w:t>
      </w: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 Продавец обязуется в течение </w:t>
      </w:r>
      <w:r>
        <w:rPr>
          <w:rFonts w:ascii="Verdana" w:eastAsia="Times New Roman" w:hAnsi="Verdana" w:cs="Arial"/>
          <w:sz w:val="20"/>
          <w:szCs w:val="20"/>
          <w:lang w:eastAsia="ru-RU"/>
        </w:rPr>
        <w:t>5</w:t>
      </w: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Arial"/>
          <w:sz w:val="20"/>
          <w:szCs w:val="20"/>
          <w:lang w:eastAsia="ru-RU"/>
        </w:rPr>
        <w:t>Пяти</w:t>
      </w: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) рабочих дней с даты подписания протокола об итогах аукциона или ранее известить </w:t>
      </w:r>
      <w:r>
        <w:rPr>
          <w:rFonts w:ascii="Verdana" w:eastAsia="Times New Roman" w:hAnsi="Verdana" w:cs="Arial"/>
          <w:sz w:val="20"/>
          <w:szCs w:val="20"/>
          <w:lang w:eastAsia="ru-RU"/>
        </w:rPr>
        <w:t>Собственника второй доли в праве общей долевой собственности на Объект - 2</w:t>
      </w: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 о намерении продать Недвижимое имущество. При этом Продавец обязуется в течение 40 (Сорока) дней с даты заключения настоящего Договора направить в адрес Покупателя уведомление о наступлении или </w:t>
      </w:r>
      <w:proofErr w:type="spellStart"/>
      <w:r w:rsidRPr="006A5588">
        <w:rPr>
          <w:rFonts w:ascii="Verdana" w:eastAsia="Times New Roman" w:hAnsi="Verdana" w:cs="Arial"/>
          <w:sz w:val="20"/>
          <w:szCs w:val="20"/>
          <w:lang w:eastAsia="ru-RU"/>
        </w:rPr>
        <w:t>ненаступлении</w:t>
      </w:r>
      <w:proofErr w:type="spellEnd"/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купли-продажи недвижимого имущества.</w:t>
      </w:r>
    </w:p>
    <w:p w14:paraId="4510B909" w14:textId="14CC1674" w:rsidR="00665FF5" w:rsidRPr="006A5588" w:rsidRDefault="00665FF5" w:rsidP="006A558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65FF5">
        <w:rPr>
          <w:rFonts w:ascii="Verdana" w:eastAsia="Times New Roman" w:hAnsi="Verdana" w:cs="Arial"/>
          <w:sz w:val="20"/>
          <w:szCs w:val="20"/>
          <w:lang w:eastAsia="ru-RU"/>
        </w:rPr>
        <w:t>1.5.4.</w:t>
      </w: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ab/>
        <w:t>Датой получения Покупателем уведомления о наступлении Отлагательного условия будет считаться:</w:t>
      </w:r>
    </w:p>
    <w:p w14:paraId="2D975A53" w14:textId="77777777" w:rsidR="00665FF5" w:rsidRPr="006A5588" w:rsidRDefault="00665FF5" w:rsidP="006A558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 xml:space="preserve">- при направлении уведомления заказным письмом с уведомлением о вручении – дата получения уведомления получающей Стороной, либо в случае неполучения (уклонения) получающей Стороной – дата доставки в почтовое отделение по месту нахождения Покупателя; </w:t>
      </w:r>
    </w:p>
    <w:p w14:paraId="2270E3A4" w14:textId="77777777" w:rsidR="00665FF5" w:rsidRPr="006A5588" w:rsidRDefault="00665FF5" w:rsidP="006A558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A5588">
        <w:rPr>
          <w:rFonts w:ascii="Verdana" w:eastAsia="Times New Roman" w:hAnsi="Verdana" w:cs="Arial"/>
          <w:sz w:val="20"/>
          <w:szCs w:val="20"/>
          <w:lang w:eastAsia="ru-RU"/>
        </w:rPr>
        <w:t>- при направлении курьерской доставкой – дата, указанная курьерской организацией как дата вручения уведомления по адресу получающей Стороны.</w:t>
      </w:r>
    </w:p>
    <w:p w14:paraId="4B490957" w14:textId="5FD9DAF9" w:rsidR="00665FF5" w:rsidRPr="003F6282" w:rsidRDefault="00665FF5" w:rsidP="006A558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6A5588">
        <w:rPr>
          <w:rFonts w:ascii="Verdana" w:hAnsi="Verdana"/>
        </w:rPr>
        <w:t>- при доставке уполномоченному представителю получающей Стороны – дата, проставленная получающей Стороной в дату получения уведомления на копии уведомления, свидетельствующая о получении уведомления, получающей Стороной.</w:t>
      </w:r>
    </w:p>
    <w:p w14:paraId="4A17ADCA" w14:textId="77777777" w:rsidR="003F6282" w:rsidRPr="003F6282" w:rsidRDefault="003F6282" w:rsidP="003F628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/>
        </w:rPr>
      </w:pPr>
    </w:p>
    <w:p w14:paraId="41055246" w14:textId="6ADD819F" w:rsidR="001F2EC1" w:rsidRPr="0036385D" w:rsidRDefault="001F2EC1" w:rsidP="00957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 w:rsidR="0095747F"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5D3747">
        <w:rPr>
          <w:rFonts w:ascii="Verdana" w:hAnsi="Verdana" w:cs="Verdana"/>
          <w:color w:val="000000"/>
          <w:sz w:val="20"/>
          <w:szCs w:val="20"/>
        </w:rPr>
        <w:t>.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40AF97EF" w:rsid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</w:t>
      </w:r>
      <w:r w:rsidRPr="00214013">
        <w:rPr>
          <w:rFonts w:ascii="Verdana" w:hAnsi="Verdana"/>
        </w:rPr>
        <w:t>составляет</w:t>
      </w:r>
      <w:r w:rsidR="00C2077C">
        <w:rPr>
          <w:rFonts w:ascii="Verdana" w:hAnsi="Verdana"/>
        </w:rPr>
        <w:t xml:space="preserve"> ________________ (_______), в том числе</w:t>
      </w:r>
      <w:r w:rsidR="005D0706">
        <w:rPr>
          <w:rFonts w:ascii="Verdana" w:hAnsi="Verdana"/>
        </w:rPr>
        <w:t>:</w:t>
      </w:r>
    </w:p>
    <w:p w14:paraId="3487D39F" w14:textId="77777777" w:rsidR="00C357DA" w:rsidRDefault="00771E30" w:rsidP="00C357DA">
      <w:pPr>
        <w:pStyle w:val="a5"/>
        <w:numPr>
          <w:ilvl w:val="0"/>
          <w:numId w:val="54"/>
        </w:numPr>
        <w:tabs>
          <w:tab w:val="left" w:pos="993"/>
          <w:tab w:val="left" w:pos="1260"/>
        </w:tabs>
        <w:jc w:val="both"/>
        <w:rPr>
          <w:rFonts w:ascii="Verdana" w:hAnsi="Verdana"/>
          <w:color w:val="000000" w:themeColor="text1"/>
        </w:rPr>
      </w:pPr>
      <w:r w:rsidRPr="00771E30">
        <w:rPr>
          <w:rFonts w:ascii="Verdana" w:hAnsi="Verdana"/>
          <w:color w:val="000000" w:themeColor="text1"/>
        </w:rPr>
        <w:t xml:space="preserve">Стоимость </w:t>
      </w:r>
      <w:r w:rsidRPr="00771E30">
        <w:rPr>
          <w:rFonts w:ascii="Verdana" w:hAnsi="Verdana"/>
          <w:b/>
          <w:color w:val="000000" w:themeColor="text1"/>
        </w:rPr>
        <w:t>«Объекта 1»</w:t>
      </w:r>
      <w:r w:rsidRPr="00771E30">
        <w:rPr>
          <w:rFonts w:ascii="Verdana" w:hAnsi="Verdana"/>
          <w:color w:val="000000" w:themeColor="text1"/>
        </w:rPr>
        <w:t xml:space="preserve"> в размере ____________________рублей (____________________________), в том числе НДС</w:t>
      </w:r>
      <w:r w:rsidR="00BA377A">
        <w:rPr>
          <w:rFonts w:ascii="Verdana" w:hAnsi="Verdana"/>
          <w:color w:val="000000" w:themeColor="text1"/>
        </w:rPr>
        <w:t xml:space="preserve">, </w:t>
      </w:r>
      <w:r w:rsidR="00BA377A" w:rsidRPr="00BA377A">
        <w:rPr>
          <w:rFonts w:ascii="Verdana" w:hAnsi="Verdana"/>
          <w:color w:val="000000" w:themeColor="text1"/>
        </w:rPr>
        <w:t>исчисленный в соответствии с действующим законодательством)</w:t>
      </w:r>
      <w:r w:rsidRPr="00771E30">
        <w:rPr>
          <w:rFonts w:ascii="Verdana" w:hAnsi="Verdana"/>
          <w:color w:val="000000" w:themeColor="text1"/>
        </w:rPr>
        <w:t xml:space="preserve"> – _________________ рублей (___________________) рублей 00 копеек</w:t>
      </w:r>
    </w:p>
    <w:p w14:paraId="5C46C766" w14:textId="225C7C0F" w:rsidR="00C357DA" w:rsidRDefault="00771E30" w:rsidP="00C357DA">
      <w:pPr>
        <w:pStyle w:val="a5"/>
        <w:numPr>
          <w:ilvl w:val="0"/>
          <w:numId w:val="54"/>
        </w:numPr>
        <w:tabs>
          <w:tab w:val="left" w:pos="993"/>
          <w:tab w:val="left" w:pos="1260"/>
        </w:tabs>
        <w:jc w:val="both"/>
        <w:rPr>
          <w:rFonts w:ascii="Verdana" w:hAnsi="Verdana"/>
          <w:color w:val="000000" w:themeColor="text1"/>
        </w:rPr>
      </w:pPr>
      <w:r w:rsidRPr="00C357DA">
        <w:rPr>
          <w:rFonts w:ascii="Verdana" w:hAnsi="Verdana"/>
          <w:color w:val="000000" w:themeColor="text1"/>
        </w:rPr>
        <w:t xml:space="preserve">Стоимость </w:t>
      </w:r>
      <w:r w:rsidRPr="00C357DA">
        <w:rPr>
          <w:rFonts w:ascii="Verdana" w:hAnsi="Verdana"/>
          <w:b/>
          <w:color w:val="000000" w:themeColor="text1"/>
        </w:rPr>
        <w:t>«Объекта 2»</w:t>
      </w:r>
      <w:r w:rsidRPr="00C357DA">
        <w:rPr>
          <w:rFonts w:ascii="Verdana" w:hAnsi="Verdana"/>
          <w:color w:val="000000" w:themeColor="text1"/>
        </w:rPr>
        <w:t xml:space="preserve"> в размере ____________________рублей (____________________________),</w:t>
      </w:r>
      <w:r w:rsidR="005D3747" w:rsidRPr="00C357DA">
        <w:rPr>
          <w:rFonts w:ascii="Verdana" w:hAnsi="Verdana"/>
          <w:color w:val="000000" w:themeColor="text1"/>
        </w:rPr>
        <w:t xml:space="preserve"> </w:t>
      </w:r>
      <w:r w:rsidR="00C357DA" w:rsidRPr="00771E30">
        <w:rPr>
          <w:rFonts w:ascii="Verdana" w:hAnsi="Verdana"/>
          <w:color w:val="000000" w:themeColor="text1"/>
        </w:rPr>
        <w:t>в том числе НДС</w:t>
      </w:r>
      <w:r w:rsidR="00C357DA">
        <w:rPr>
          <w:rFonts w:ascii="Verdana" w:hAnsi="Verdana"/>
          <w:color w:val="000000" w:themeColor="text1"/>
        </w:rPr>
        <w:t xml:space="preserve">, </w:t>
      </w:r>
      <w:r w:rsidR="00C357DA" w:rsidRPr="00BA377A">
        <w:rPr>
          <w:rFonts w:ascii="Verdana" w:hAnsi="Verdana"/>
          <w:color w:val="000000" w:themeColor="text1"/>
        </w:rPr>
        <w:t>исчисленный в соответствии с действующим законодательством)</w:t>
      </w:r>
      <w:r w:rsidR="00C357DA" w:rsidRPr="00771E30">
        <w:rPr>
          <w:rFonts w:ascii="Verdana" w:hAnsi="Verdana"/>
          <w:color w:val="000000" w:themeColor="text1"/>
        </w:rPr>
        <w:t xml:space="preserve"> – _________________ рублей (___________________) рублей 00 копеек</w:t>
      </w:r>
      <w:r w:rsidR="00C357DA">
        <w:rPr>
          <w:rFonts w:ascii="Verdana" w:hAnsi="Verdana"/>
          <w:color w:val="000000" w:themeColor="text1"/>
        </w:rPr>
        <w:t>.</w:t>
      </w:r>
    </w:p>
    <w:p w14:paraId="6860D347" w14:textId="0506430C" w:rsidR="00A24FDA" w:rsidRPr="00C357DA" w:rsidRDefault="00C131F7" w:rsidP="00C357DA">
      <w:pPr>
        <w:pStyle w:val="a5"/>
        <w:tabs>
          <w:tab w:val="left" w:pos="993"/>
          <w:tab w:val="left" w:pos="1260"/>
        </w:tabs>
        <w:jc w:val="both"/>
        <w:rPr>
          <w:rFonts w:ascii="Verdana" w:hAnsi="Verdana" w:cs="Arial"/>
        </w:rPr>
      </w:pPr>
      <w:r w:rsidRPr="00C357DA">
        <w:rPr>
          <w:rFonts w:ascii="Verdana" w:hAnsi="Verdana"/>
        </w:rPr>
        <w:t xml:space="preserve">2.1.1. </w:t>
      </w:r>
      <w:r w:rsidRPr="00C357D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36DE18F8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08050719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C9DE331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(в том числе НДС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9BA3AE4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</w:p>
          <w:p w14:paraId="488C6E2C" w14:textId="534D0FE9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НДС)</w:t>
            </w:r>
          </w:p>
        </w:tc>
      </w:tr>
    </w:tbl>
    <w:p w14:paraId="5ED2E70B" w14:textId="48987FB4" w:rsidR="00BA377A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A44EF8" w:rsidRPr="00F3638F">
        <w:rPr>
          <w:rFonts w:ascii="Verdana" w:hAnsi="Verdana"/>
          <w:b/>
          <w:i/>
        </w:rPr>
        <w:t>155</w:t>
      </w:r>
      <w:r w:rsidR="00A44EF8">
        <w:rPr>
          <w:rFonts w:ascii="Verdana" w:hAnsi="Verdana"/>
          <w:b/>
          <w:i/>
        </w:rPr>
        <w:t> </w:t>
      </w:r>
      <w:r w:rsidR="00A44EF8" w:rsidRPr="00F3638F">
        <w:rPr>
          <w:rFonts w:ascii="Verdana" w:hAnsi="Verdana"/>
          <w:b/>
          <w:i/>
        </w:rPr>
        <w:t>800</w:t>
      </w:r>
      <w:r w:rsidR="00A44EF8">
        <w:rPr>
          <w:rFonts w:ascii="Verdana" w:hAnsi="Verdana"/>
          <w:b/>
          <w:i/>
        </w:rPr>
        <w:t>,00</w:t>
      </w:r>
      <w:r w:rsidR="00A44EF8" w:rsidRPr="00F3638F">
        <w:rPr>
          <w:rFonts w:ascii="Verdana" w:hAnsi="Verdana"/>
          <w:b/>
          <w:i/>
        </w:rPr>
        <w:t xml:space="preserve"> рублей </w:t>
      </w:r>
      <w:r w:rsidRPr="00214013">
        <w:rPr>
          <w:rFonts w:ascii="Verdana" w:hAnsi="Verdana"/>
          <w:i/>
          <w:color w:val="0070C0"/>
        </w:rPr>
        <w:t>(</w:t>
      </w:r>
      <w:r w:rsidR="00A44EF8">
        <w:rPr>
          <w:rFonts w:ascii="Verdana" w:hAnsi="Verdana"/>
          <w:i/>
          <w:color w:val="0070C0"/>
        </w:rPr>
        <w:t xml:space="preserve">Сто пятьдесят пять тысяч восемьсот)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="00771E30" w:rsidRPr="00771E30">
        <w:rPr>
          <w:rFonts w:ascii="Verdana" w:hAnsi="Verdana"/>
          <w:i/>
          <w:color w:val="0070C0"/>
        </w:rPr>
        <w:t>в том числе НДС</w:t>
      </w:r>
      <w:r w:rsidRPr="00214013">
        <w:rPr>
          <w:rFonts w:ascii="Verdana" w:hAnsi="Verdana"/>
          <w:i/>
          <w:color w:val="0070C0"/>
        </w:rPr>
        <w:t>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4A3D7E5F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(в том числе НДС, исчисленный в соответствии с действующим законодательством).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35EE9B78" w:rsidR="00A24C91" w:rsidRPr="003303DF" w:rsidRDefault="00564030" w:rsidP="003303DF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  <w:bookmarkStart w:id="0" w:name="_GoBack"/>
      <w:bookmarkEnd w:id="0"/>
    </w:p>
    <w:p w14:paraId="2D3E5027" w14:textId="4D8C3575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</w:t>
      </w:r>
      <w:r w:rsidR="00FD6988" w:rsidRPr="00FD6988">
        <w:rPr>
          <w:rFonts w:ascii="Verdana" w:eastAsia="Times New Roman" w:hAnsi="Verdana" w:cs="Times New Roman"/>
          <w:sz w:val="20"/>
          <w:szCs w:val="20"/>
          <w:lang w:eastAsia="ru-RU"/>
        </w:rPr>
        <w:t>полной оплаты цены недвижимого имущества в соответствии п.2.2, 2.3 Договора</w:t>
      </w:r>
      <w:r w:rsidR="00E309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регистрации перехода права собственности. 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6B1E5F6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8412896" w14:textId="77777777" w:rsidR="00FD6988" w:rsidRPr="00214013" w:rsidRDefault="00FD6988" w:rsidP="00FD69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D6988" w:rsidRPr="00214013" w14:paraId="004E15C8" w14:textId="77777777" w:rsidTr="00C9369B">
        <w:trPr>
          <w:trHeight w:val="693"/>
        </w:trPr>
        <w:tc>
          <w:tcPr>
            <w:tcW w:w="2728" w:type="dxa"/>
            <w:shd w:val="clear" w:color="auto" w:fill="auto"/>
          </w:tcPr>
          <w:p w14:paraId="06BEEFBE" w14:textId="77777777" w:rsidR="00FD6988" w:rsidRPr="00214013" w:rsidRDefault="00FD6988" w:rsidP="00C9369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FFF90E" w14:textId="77777777" w:rsidR="00FD6988" w:rsidRPr="00214013" w:rsidRDefault="00FD6988" w:rsidP="00C9369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8026E4C" w14:textId="77777777" w:rsidR="00FD6988" w:rsidRPr="00214013" w:rsidRDefault="00FD6988" w:rsidP="00C936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1D009A0" w14:textId="77777777" w:rsidR="00FD6988" w:rsidRPr="00214013" w:rsidRDefault="00FD69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385BF93E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106EA5E" w:rsidR="009304B4" w:rsidRPr="006A5588" w:rsidRDefault="00665FF5" w:rsidP="006A5588">
      <w:pPr>
        <w:widowControl w:val="0"/>
        <w:shd w:val="clear" w:color="auto" w:fill="FFFFFF"/>
        <w:adjustRightInd w:val="0"/>
        <w:jc w:val="both"/>
        <w:rPr>
          <w:rFonts w:ascii="Verdana" w:hAnsi="Verdana"/>
        </w:rPr>
      </w:pPr>
      <w:r w:rsidRPr="00665FF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6A5588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C50BA3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59F1B23E" w14:textId="77777777" w:rsidR="00C900B7" w:rsidRPr="00A1349F" w:rsidRDefault="00C900B7" w:rsidP="00C900B7">
            <w:pPr>
              <w:pStyle w:val="ConsNormal"/>
              <w:widowControl/>
              <w:tabs>
                <w:tab w:val="left" w:pos="709"/>
                <w:tab w:val="left" w:pos="1080"/>
              </w:tabs>
              <w:ind w:left="720" w:right="0" w:firstLine="0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  <w:p w14:paraId="284FE884" w14:textId="0D6D9B4E" w:rsidR="00C900B7" w:rsidRPr="003469A0" w:rsidRDefault="00C900B7" w:rsidP="00C900B7">
            <w:pPr>
              <w:pStyle w:val="Default"/>
              <w:numPr>
                <w:ilvl w:val="0"/>
                <w:numId w:val="45"/>
              </w:numPr>
              <w:ind w:left="1071" w:hanging="357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Торговый павильон с кадастровым номером: 63:09:0302051:3483, общей площадью 143.7 кв. м., назначение: нежилое, этаж:2, расположенный по 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адресу: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B215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Тольятти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B215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Базовая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.4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пом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.1 («Объект -1»);</w:t>
            </w:r>
          </w:p>
          <w:p w14:paraId="0A272787" w14:textId="2EE6D3D6" w:rsidR="00E60726" w:rsidRDefault="00C900B7" w:rsidP="00C900B7">
            <w:pPr>
              <w:pStyle w:val="Default"/>
              <w:numPr>
                <w:ilvl w:val="0"/>
                <w:numId w:val="45"/>
              </w:numPr>
              <w:ind w:left="1071" w:hanging="357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½ доля в праве общей долевой собственности на торговый павильон с кадастровым номером: 63:09:0302051:3484, общей площадью 28.1 кв. м., назначение: нежилое, этаж:2, расположенный по адресу</w:t>
            </w:r>
            <w:r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B215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Тольятти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B2151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Базовая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.4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469A0">
              <w:rPr>
                <w:rFonts w:ascii="Verdana" w:eastAsia="Times New Roman" w:hAnsi="Verdana" w:hint="eastAsia"/>
                <w:b/>
                <w:color w:val="000000" w:themeColor="text1"/>
                <w:sz w:val="20"/>
                <w:szCs w:val="20"/>
                <w:lang w:eastAsia="ru-RU"/>
              </w:rPr>
              <w:t>ком</w:t>
            </w:r>
            <w:r w:rsidRPr="003469A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.2,4,5,7  («Объект -2») (далее совместно именуемое – «Недвижимое имущество»).</w:t>
            </w:r>
          </w:p>
          <w:p w14:paraId="7B021200" w14:textId="77777777" w:rsidR="00C900B7" w:rsidRPr="00C900B7" w:rsidRDefault="00C900B7" w:rsidP="00C900B7">
            <w:pPr>
              <w:pStyle w:val="Default"/>
              <w:ind w:left="1071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B7753A8" w14:textId="05F750D6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      </w:r>
            <w:r w:rsidR="00CC41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214013">
        <w:rPr>
          <w:rFonts w:ascii="Verdana" w:hAnsi="Verdana"/>
        </w:rPr>
        <w:lastRenderedPageBreak/>
        <w:t xml:space="preserve">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40B9" w14:textId="77777777" w:rsidR="00837FDA" w:rsidRDefault="00837FDA" w:rsidP="00E33D4F">
      <w:pPr>
        <w:spacing w:after="0" w:line="240" w:lineRule="auto"/>
      </w:pPr>
      <w:r>
        <w:separator/>
      </w:r>
    </w:p>
  </w:endnote>
  <w:endnote w:type="continuationSeparator" w:id="0">
    <w:p w14:paraId="0F851DB8" w14:textId="77777777" w:rsidR="00837FDA" w:rsidRDefault="00837FD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7F4B7E8A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F5">
          <w:rPr>
            <w:noProof/>
          </w:rPr>
          <w:t>3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E432" w14:textId="77777777" w:rsidR="00837FDA" w:rsidRDefault="00837FDA" w:rsidP="00E33D4F">
      <w:pPr>
        <w:spacing w:after="0" w:line="240" w:lineRule="auto"/>
      </w:pPr>
      <w:r>
        <w:separator/>
      </w:r>
    </w:p>
  </w:footnote>
  <w:footnote w:type="continuationSeparator" w:id="0">
    <w:p w14:paraId="2117B090" w14:textId="77777777" w:rsidR="00837FDA" w:rsidRDefault="00837FDA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AEB2F4"/>
    <w:multiLevelType w:val="hybridMultilevel"/>
    <w:tmpl w:val="2A7434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572A39"/>
    <w:multiLevelType w:val="hybridMultilevel"/>
    <w:tmpl w:val="1AE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1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F87391C"/>
    <w:multiLevelType w:val="hybridMultilevel"/>
    <w:tmpl w:val="B61E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BCE"/>
    <w:multiLevelType w:val="hybridMultilevel"/>
    <w:tmpl w:val="B6A8EB80"/>
    <w:lvl w:ilvl="0" w:tplc="D194AF5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7D9C90"/>
    <w:multiLevelType w:val="hybridMultilevel"/>
    <w:tmpl w:val="49F8E3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FA3890"/>
    <w:multiLevelType w:val="hybridMultilevel"/>
    <w:tmpl w:val="5E822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1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668D04B5"/>
    <w:multiLevelType w:val="hybridMultilevel"/>
    <w:tmpl w:val="DD4AFCE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A837761"/>
    <w:multiLevelType w:val="hybridMultilevel"/>
    <w:tmpl w:val="21447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2" w15:restartNumberingAfterBreak="0">
    <w:nsid w:val="74CA36B6"/>
    <w:multiLevelType w:val="multilevel"/>
    <w:tmpl w:val="E38C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3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2"/>
  </w:num>
  <w:num w:numId="3">
    <w:abstractNumId w:val="43"/>
  </w:num>
  <w:num w:numId="4">
    <w:abstractNumId w:val="41"/>
  </w:num>
  <w:num w:numId="5">
    <w:abstractNumId w:val="36"/>
  </w:num>
  <w:num w:numId="6">
    <w:abstractNumId w:val="24"/>
  </w:num>
  <w:num w:numId="7">
    <w:abstractNumId w:val="6"/>
  </w:num>
  <w:num w:numId="8">
    <w:abstractNumId w:val="7"/>
  </w:num>
  <w:num w:numId="9">
    <w:abstractNumId w:val="48"/>
  </w:num>
  <w:num w:numId="10">
    <w:abstractNumId w:val="5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51"/>
  </w:num>
  <w:num w:numId="12">
    <w:abstractNumId w:val="14"/>
  </w:num>
  <w:num w:numId="13">
    <w:abstractNumId w:val="33"/>
  </w:num>
  <w:num w:numId="14">
    <w:abstractNumId w:val="8"/>
  </w:num>
  <w:num w:numId="15">
    <w:abstractNumId w:val="3"/>
  </w:num>
  <w:num w:numId="16">
    <w:abstractNumId w:val="22"/>
  </w:num>
  <w:num w:numId="17">
    <w:abstractNumId w:val="44"/>
  </w:num>
  <w:num w:numId="18">
    <w:abstractNumId w:val="26"/>
  </w:num>
  <w:num w:numId="19">
    <w:abstractNumId w:val="17"/>
  </w:num>
  <w:num w:numId="20">
    <w:abstractNumId w:val="34"/>
  </w:num>
  <w:num w:numId="21">
    <w:abstractNumId w:val="29"/>
  </w:num>
  <w:num w:numId="22">
    <w:abstractNumId w:val="31"/>
  </w:num>
  <w:num w:numId="23">
    <w:abstractNumId w:val="20"/>
  </w:num>
  <w:num w:numId="24">
    <w:abstractNumId w:val="32"/>
  </w:num>
  <w:num w:numId="25">
    <w:abstractNumId w:val="9"/>
  </w:num>
  <w:num w:numId="26">
    <w:abstractNumId w:val="47"/>
  </w:num>
  <w:num w:numId="27">
    <w:abstractNumId w:val="40"/>
  </w:num>
  <w:num w:numId="28">
    <w:abstractNumId w:val="18"/>
  </w:num>
  <w:num w:numId="29">
    <w:abstractNumId w:val="54"/>
  </w:num>
  <w:num w:numId="30">
    <w:abstractNumId w:val="46"/>
  </w:num>
  <w:num w:numId="31">
    <w:abstractNumId w:val="39"/>
  </w:num>
  <w:num w:numId="32">
    <w:abstractNumId w:val="4"/>
  </w:num>
  <w:num w:numId="33">
    <w:abstractNumId w:val="11"/>
  </w:num>
  <w:num w:numId="34">
    <w:abstractNumId w:val="27"/>
  </w:num>
  <w:num w:numId="35">
    <w:abstractNumId w:val="35"/>
  </w:num>
  <w:num w:numId="36">
    <w:abstractNumId w:val="42"/>
  </w:num>
  <w:num w:numId="37">
    <w:abstractNumId w:val="55"/>
  </w:num>
  <w:num w:numId="38">
    <w:abstractNumId w:val="2"/>
  </w:num>
  <w:num w:numId="39">
    <w:abstractNumId w:val="38"/>
  </w:num>
  <w:num w:numId="40">
    <w:abstractNumId w:val="1"/>
  </w:num>
  <w:num w:numId="41">
    <w:abstractNumId w:val="37"/>
  </w:num>
  <w:num w:numId="42">
    <w:abstractNumId w:val="50"/>
  </w:num>
  <w:num w:numId="43">
    <w:abstractNumId w:val="28"/>
  </w:num>
  <w:num w:numId="44">
    <w:abstractNumId w:val="21"/>
  </w:num>
  <w:num w:numId="45">
    <w:abstractNumId w:val="45"/>
  </w:num>
  <w:num w:numId="46">
    <w:abstractNumId w:val="30"/>
  </w:num>
  <w:num w:numId="47">
    <w:abstractNumId w:val="19"/>
  </w:num>
  <w:num w:numId="48">
    <w:abstractNumId w:val="53"/>
  </w:num>
  <w:num w:numId="49">
    <w:abstractNumId w:val="25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13"/>
  </w:num>
  <w:num w:numId="53">
    <w:abstractNumId w:val="5"/>
  </w:num>
  <w:num w:numId="54">
    <w:abstractNumId w:val="16"/>
  </w:num>
  <w:num w:numId="55">
    <w:abstractNumId w:val="12"/>
  </w:num>
  <w:num w:numId="56">
    <w:abstractNumId w:val="49"/>
  </w:num>
  <w:num w:numId="57">
    <w:abstractNumId w:val="0"/>
  </w:num>
  <w:num w:numId="58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1D87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0C9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037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03DF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469A0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075C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282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5FF5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588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53F5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165FE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FDA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0C2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EF8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151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2F16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84B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077C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5D"/>
    <w:rsid w:val="00C35592"/>
    <w:rsid w:val="00C35795"/>
    <w:rsid w:val="00C357DA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B7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1D8B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1E37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64B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B69DF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80F1-4F1A-43B1-994C-F448BD8F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5</cp:revision>
  <cp:lastPrinted>2023-06-01T09:09:00Z</cp:lastPrinted>
  <dcterms:created xsi:type="dcterms:W3CDTF">2023-07-19T12:47:00Z</dcterms:created>
  <dcterms:modified xsi:type="dcterms:W3CDTF">2023-07-19T13:17:00Z</dcterms:modified>
</cp:coreProperties>
</file>