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E51" w:rsidRPr="002A4297" w:rsidRDefault="00F81E51" w:rsidP="00F81E51">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F81E51" w:rsidRPr="002A4297" w:rsidRDefault="00F81E51" w:rsidP="00F81E51">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F81E51" w:rsidRPr="002A4297" w:rsidRDefault="00F81E51" w:rsidP="00F81E51">
      <w:pPr>
        <w:widowControl w:val="0"/>
        <w:spacing w:after="0" w:line="240" w:lineRule="auto"/>
        <w:jc w:val="center"/>
        <w:rPr>
          <w:rFonts w:ascii="Times New Roman" w:eastAsia="Times New Roman" w:hAnsi="Times New Roman" w:cs="Times New Roman"/>
          <w:sz w:val="24"/>
          <w:szCs w:val="24"/>
          <w:lang w:eastAsia="ru-RU"/>
        </w:rPr>
      </w:pPr>
    </w:p>
    <w:p w:rsidR="00F81E51" w:rsidRPr="002A4297" w:rsidRDefault="00F81E51" w:rsidP="00F81E51">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в лице 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________, действующего на основании _____________________, с одной стороны, и</w:t>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__________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4"/>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p>
    <w:p w:rsidR="00F81E51" w:rsidRPr="002A4297" w:rsidRDefault="00F81E51" w:rsidP="00F81E51">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b/>
          <w:sz w:val="24"/>
          <w:szCs w:val="24"/>
          <w:lang w:eastAsia="ru-RU"/>
        </w:rPr>
      </w:pPr>
    </w:p>
    <w:p w:rsidR="00F81E51" w:rsidRPr="002A4297" w:rsidRDefault="00F81E51" w:rsidP="00F81E51">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7"/>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lang w:eastAsia="ru-RU"/>
        </w:rPr>
        <w:t>, что подтверждается _______________</w:t>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rsidR="00F81E51" w:rsidRPr="002A4297" w:rsidRDefault="00F81E51" w:rsidP="00F81E51">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 что подтверждается справкой от ______ № ___, выданной _______.</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b/>
          <w:sz w:val="24"/>
          <w:szCs w:val="24"/>
          <w:lang w:eastAsia="ru-RU"/>
        </w:rPr>
      </w:pP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C275FB" w:rsidRPr="00C275FB" w:rsidRDefault="00F81E51" w:rsidP="00F376B3">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C275FB">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орган регистрации прав)</w:t>
      </w:r>
      <w:r w:rsidR="00C275FB">
        <w:rPr>
          <w:rFonts w:ascii="Times New Roman" w:eastAsia="Times New Roman" w:hAnsi="Times New Roman" w:cs="Times New Roman"/>
          <w:sz w:val="24"/>
          <w:szCs w:val="24"/>
          <w:lang w:eastAsia="ru-RU"/>
        </w:rPr>
        <w:t>.</w:t>
      </w:r>
    </w:p>
    <w:p w:rsidR="00F81E51" w:rsidRPr="00C275FB" w:rsidRDefault="00F81E51" w:rsidP="00F376B3">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C275FB">
        <w:rPr>
          <w:rFonts w:ascii="Times New Roman" w:eastAsia="Times New Roman" w:hAnsi="Times New Roman" w:cs="Times New Roman"/>
          <w:sz w:val="24"/>
          <w:szCs w:val="24"/>
          <w:lang w:eastAsia="ru-RU"/>
        </w:rPr>
        <w:t xml:space="preserve"> </w:t>
      </w:r>
      <w:bookmarkStart w:id="2" w:name="_Ref82097368"/>
      <w:r w:rsidRPr="00C275FB">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w:t>
      </w:r>
      <w:bookmarkEnd w:id="2"/>
      <w:r w:rsidRPr="00C275FB">
        <w:rPr>
          <w:rFonts w:ascii="Times New Roman" w:eastAsia="Times New Roman" w:hAnsi="Times New Roman" w:cs="Times New Roman"/>
          <w:sz w:val="24"/>
          <w:szCs w:val="24"/>
          <w:lang w:eastAsia="ru-RU"/>
        </w:rPr>
        <w:t xml:space="preserve"> </w:t>
      </w:r>
    </w:p>
    <w:p w:rsidR="00F81E51" w:rsidRPr="002A4297" w:rsidRDefault="00F81E51" w:rsidP="00F81E51">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rsidR="00F81E51" w:rsidRPr="002A4297" w:rsidRDefault="00F81E51" w:rsidP="00F81E51">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F81E51" w:rsidRDefault="00F81E51" w:rsidP="00F81E51">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3" w:name="_Ref486334854"/>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 включая НДС (20 %),</w:t>
      </w:r>
      <w:bookmarkEnd w:id="3"/>
      <w:r w:rsidRPr="002A4297">
        <w:rPr>
          <w:rFonts w:ascii="Times New Roman" w:eastAsia="Times New Roman" w:hAnsi="Times New Roman" w:cs="Times New Roman"/>
          <w:sz w:val="24"/>
          <w:szCs w:val="24"/>
          <w:lang w:eastAsia="ru-RU"/>
        </w:rPr>
        <w:t xml:space="preserve"> в том числе:</w:t>
      </w:r>
    </w:p>
    <w:p w:rsidR="00F81E51" w:rsidRPr="002A4297" w:rsidRDefault="00F81E51" w:rsidP="00F81E51">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F81E51" w:rsidRPr="00AD6126" w:rsidRDefault="00F81E51" w:rsidP="00F81E51">
      <w:pPr>
        <w:pStyle w:val="af3"/>
        <w:numPr>
          <w:ilvl w:val="1"/>
          <w:numId w:val="10"/>
        </w:numPr>
        <w:ind w:left="0" w:firstLine="709"/>
        <w:jc w:val="both"/>
        <w:rPr>
          <w:sz w:val="24"/>
          <w:szCs w:val="24"/>
        </w:rPr>
      </w:pPr>
      <w:bookmarkStart w:id="4" w:name="_Ref486334738"/>
      <w:r w:rsidRPr="00AD6126">
        <w:rPr>
          <w:sz w:val="24"/>
          <w:szCs w:val="24"/>
        </w:rPr>
        <w:t xml:space="preserve">Задаток, уплаченный Покупателем организатору торгов в форме аукциона _______________ на основании </w:t>
      </w:r>
      <w:r>
        <w:rPr>
          <w:sz w:val="24"/>
          <w:szCs w:val="24"/>
        </w:rPr>
        <w:t>д</w:t>
      </w:r>
      <w:r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Pr>
          <w:sz w:val="24"/>
          <w:szCs w:val="24"/>
        </w:rPr>
        <w:t xml:space="preserve">цены Имущества </w:t>
      </w:r>
      <w:r w:rsidRPr="00AD6126">
        <w:rPr>
          <w:sz w:val="24"/>
          <w:szCs w:val="24"/>
        </w:rPr>
        <w:t>по Договору в размере __________ (________), в том числе НДС __________ (________).</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82174936"/>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4"/>
      <w:bookmarkEnd w:id="5"/>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Покупателем за счет кредитных средств, предоставленных Покупателю _____________________ в лице _________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F81E51"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Банком </w:t>
      </w:r>
      <w:r>
        <w:rPr>
          <w:rFonts w:ascii="Times New Roman" w:eastAsia="Times New Roman" w:hAnsi="Times New Roman" w:cs="Times New Roman"/>
          <w:sz w:val="24"/>
          <w:szCs w:val="24"/>
          <w:lang w:eastAsia="ru-RU"/>
        </w:rPr>
        <w:t xml:space="preserve">по поручению Покупателя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F81E51" w:rsidRPr="002A4297" w:rsidRDefault="00C275FB"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F81E51">
        <w:rPr>
          <w:rFonts w:ascii="Times New Roman" w:eastAsia="Times New Roman" w:hAnsi="Times New Roman" w:cs="Times New Roman"/>
          <w:sz w:val="24"/>
          <w:szCs w:val="24"/>
          <w:lang w:eastAsia="ru-RU"/>
        </w:rPr>
        <w:t xml:space="preserve">асчеты по Договору производятся в рублях, путем безналичного перечисления денежных средств на счет Продавца, указанный в разделе </w:t>
      </w:r>
      <w:r w:rsidR="00F81E51">
        <w:rPr>
          <w:rFonts w:ascii="Times New Roman" w:eastAsia="Times New Roman" w:hAnsi="Times New Roman" w:cs="Times New Roman"/>
          <w:sz w:val="24"/>
          <w:szCs w:val="24"/>
          <w:lang w:eastAsia="ru-RU"/>
        </w:rPr>
        <w:fldChar w:fldCharType="begin"/>
      </w:r>
      <w:r w:rsidR="00F81E51">
        <w:rPr>
          <w:rFonts w:ascii="Times New Roman" w:eastAsia="Times New Roman" w:hAnsi="Times New Roman" w:cs="Times New Roman"/>
          <w:sz w:val="24"/>
          <w:szCs w:val="24"/>
          <w:lang w:eastAsia="ru-RU"/>
        </w:rPr>
        <w:instrText xml:space="preserve"> REF _Ref486328623 \r \h </w:instrText>
      </w:r>
      <w:r w:rsidR="00F81E51">
        <w:rPr>
          <w:rFonts w:ascii="Times New Roman" w:eastAsia="Times New Roman" w:hAnsi="Times New Roman" w:cs="Times New Roman"/>
          <w:sz w:val="24"/>
          <w:szCs w:val="24"/>
          <w:lang w:eastAsia="ru-RU"/>
        </w:rPr>
      </w:r>
      <w:r w:rsidR="00F81E51">
        <w:rPr>
          <w:rFonts w:ascii="Times New Roman" w:eastAsia="Times New Roman" w:hAnsi="Times New Roman" w:cs="Times New Roman"/>
          <w:sz w:val="24"/>
          <w:szCs w:val="24"/>
          <w:lang w:eastAsia="ru-RU"/>
        </w:rPr>
        <w:fldChar w:fldCharType="separate"/>
      </w:r>
      <w:r w:rsidR="00F81E51">
        <w:rPr>
          <w:rFonts w:ascii="Times New Roman" w:eastAsia="Times New Roman" w:hAnsi="Times New Roman" w:cs="Times New Roman"/>
          <w:sz w:val="24"/>
          <w:szCs w:val="24"/>
          <w:lang w:eastAsia="ru-RU"/>
        </w:rPr>
        <w:t>13</w:t>
      </w:r>
      <w:r w:rsidR="00F81E51">
        <w:rPr>
          <w:rFonts w:ascii="Times New Roman" w:eastAsia="Times New Roman" w:hAnsi="Times New Roman" w:cs="Times New Roman"/>
          <w:sz w:val="24"/>
          <w:szCs w:val="24"/>
          <w:lang w:eastAsia="ru-RU"/>
        </w:rPr>
        <w:fldChar w:fldCharType="end"/>
      </w:r>
      <w:r w:rsidR="00F81E51">
        <w:rPr>
          <w:rFonts w:ascii="Times New Roman" w:eastAsia="Times New Roman" w:hAnsi="Times New Roman" w:cs="Times New Roman"/>
          <w:sz w:val="24"/>
          <w:szCs w:val="24"/>
          <w:lang w:eastAsia="ru-RU"/>
        </w:rPr>
        <w:t xml:space="preserve"> Договора. </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F81E51"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3023"/>
      <w:bookmarkStart w:id="7"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а также налог на имущество -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xml:space="preserve">, в том числе платежных документов, предъявленных </w:t>
      </w:r>
      <w:proofErr w:type="spellStart"/>
      <w:r>
        <w:rPr>
          <w:rFonts w:ascii="Times New Roman" w:eastAsia="Times New Roman" w:hAnsi="Times New Roman" w:cs="Times New Roman"/>
          <w:sz w:val="24"/>
          <w:szCs w:val="24"/>
          <w:lang w:eastAsia="ru-RU"/>
        </w:rPr>
        <w:t>ресурсоснабжающими</w:t>
      </w:r>
      <w:proofErr w:type="spellEnd"/>
      <w:r>
        <w:rPr>
          <w:rFonts w:ascii="Times New Roman" w:eastAsia="Times New Roman" w:hAnsi="Times New Roman" w:cs="Times New Roman"/>
          <w:sz w:val="24"/>
          <w:szCs w:val="24"/>
          <w:lang w:eastAsia="ru-RU"/>
        </w:rPr>
        <w:t xml:space="preserve"> организациями (счет, счет-фактура и т.д.)</w:t>
      </w:r>
      <w:r w:rsidRPr="002A4297">
        <w:rPr>
          <w:rFonts w:ascii="Times New Roman" w:eastAsia="Times New Roman" w:hAnsi="Times New Roman" w:cs="Times New Roman"/>
          <w:sz w:val="24"/>
          <w:szCs w:val="24"/>
          <w:lang w:eastAsia="ru-RU"/>
        </w:rPr>
        <w:t>.</w:t>
      </w:r>
      <w:bookmarkEnd w:id="6"/>
      <w:bookmarkEnd w:id="7"/>
    </w:p>
    <w:p w:rsidR="00F81E51" w:rsidRPr="00C26408"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F81E51" w:rsidRPr="009B79CF" w:rsidRDefault="00F81E51" w:rsidP="00F81E51">
      <w:pPr>
        <w:pStyle w:val="af3"/>
        <w:numPr>
          <w:ilvl w:val="1"/>
          <w:numId w:val="10"/>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rsidR="00F81E51" w:rsidRPr="00C26408" w:rsidRDefault="00F81E51" w:rsidP="00F81E51">
      <w:pPr>
        <w:pStyle w:val="af3"/>
        <w:ind w:left="709"/>
        <w:rPr>
          <w:sz w:val="24"/>
          <w:szCs w:val="24"/>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b/>
          <w:sz w:val="24"/>
          <w:szCs w:val="24"/>
          <w:lang w:eastAsia="ru-RU"/>
        </w:rPr>
      </w:pP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F81E51" w:rsidRPr="002A4297" w:rsidRDefault="00F81E51" w:rsidP="00F81E51">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527451584"/>
      <w:r w:rsidRPr="002A4297">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8"/>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F81E51" w:rsidRDefault="00F81E51" w:rsidP="00F81E51">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rsidR="00F81E51" w:rsidRPr="0049596E" w:rsidRDefault="00F81E51" w:rsidP="00F81E51">
      <w:pPr>
        <w:pStyle w:val="af3"/>
        <w:numPr>
          <w:ilvl w:val="2"/>
          <w:numId w:val="7"/>
        </w:numPr>
        <w:ind w:left="0" w:firstLine="708"/>
        <w:jc w:val="both"/>
        <w:rPr>
          <w:sz w:val="24"/>
          <w:szCs w:val="24"/>
        </w:rPr>
      </w:pPr>
      <w:r w:rsidRPr="0049596E">
        <w:rPr>
          <w:sz w:val="24"/>
          <w:szCs w:val="24"/>
        </w:rPr>
        <w:t>При выплате дохода Покупателю Продавец, исполняя роль налогового агента в соответствии со статьей 226 НК РФ, удерж</w:t>
      </w:r>
      <w:r w:rsidRPr="001269BB">
        <w:rPr>
          <w:sz w:val="24"/>
          <w:szCs w:val="24"/>
        </w:rPr>
        <w:t>ать</w:t>
      </w:r>
      <w:r w:rsidRPr="0049596E">
        <w:rPr>
          <w:sz w:val="24"/>
          <w:szCs w:val="24"/>
        </w:rPr>
        <w:t xml:space="preserve"> из сумм, причитающихся Покупателю, налог на доходы физических лиц (НДФЛ) по ставке 13 % и осуществ</w:t>
      </w:r>
      <w:r>
        <w:rPr>
          <w:sz w:val="24"/>
          <w:szCs w:val="24"/>
        </w:rPr>
        <w:t>ить</w:t>
      </w:r>
      <w:r w:rsidRPr="0049596E">
        <w:rPr>
          <w:sz w:val="24"/>
          <w:szCs w:val="24"/>
        </w:rPr>
        <w:t xml:space="preserve"> расчеты с бюджетом в порядке и сроки, установленные пунктами 4 и 6 статьи 226 НК РФ.</w:t>
      </w:r>
    </w:p>
    <w:p w:rsidR="00F81E51" w:rsidRPr="0083595C" w:rsidRDefault="00F81E51" w:rsidP="00F81E51">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F81E51" w:rsidRPr="0083595C"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F81E51" w:rsidRPr="0083595C" w:rsidRDefault="00F81E51" w:rsidP="00F81E51">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F81E51" w:rsidRPr="0083595C" w:rsidRDefault="00F81E51" w:rsidP="00F81E51">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F81E51" w:rsidRPr="002A4297" w:rsidRDefault="00F81E51" w:rsidP="00F81E51">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bookmarkEnd w:id="9"/>
    <w:p w:rsidR="00F81E51" w:rsidRPr="002A4297" w:rsidRDefault="00F81E51" w:rsidP="00F81E51">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F81E51"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w:t>
      </w:r>
      <w:r w:rsidR="008D38AF">
        <w:rPr>
          <w:rFonts w:ascii="Times New Roman" w:eastAsia="Times New Roman" w:hAnsi="Times New Roman" w:cs="Times New Roman"/>
          <w:sz w:val="24"/>
          <w:szCs w:val="24"/>
          <w:lang w:eastAsia="ru-RU"/>
        </w:rPr>
        <w:t>0</w:t>
      </w:r>
      <w:r w:rsidRPr="00E21B86">
        <w:rPr>
          <w:rFonts w:ascii="Times New Roman" w:eastAsia="Times New Roman" w:hAnsi="Times New Roman" w:cs="Times New Roman"/>
          <w:sz w:val="24"/>
          <w:szCs w:val="24"/>
          <w:lang w:eastAsia="ru-RU"/>
        </w:rPr>
        <w:t xml:space="preserve">1 (ноль целых одной </w:t>
      </w:r>
      <w:r w:rsidR="008D38AF">
        <w:rPr>
          <w:rFonts w:ascii="Times New Roman" w:eastAsia="Times New Roman" w:hAnsi="Times New Roman" w:cs="Times New Roman"/>
          <w:sz w:val="24"/>
          <w:szCs w:val="24"/>
          <w:lang w:eastAsia="ru-RU"/>
        </w:rPr>
        <w:t>сотой</w:t>
      </w:r>
      <w:r w:rsidRPr="00E21B86">
        <w:rPr>
          <w:rFonts w:ascii="Times New Roman" w:eastAsia="Times New Roman" w:hAnsi="Times New Roman" w:cs="Times New Roman"/>
          <w:sz w:val="24"/>
          <w:szCs w:val="24"/>
          <w:lang w:eastAsia="ru-RU"/>
        </w:rPr>
        <w:t xml:space="preserve">)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Pr>
          <w:rFonts w:ascii="Times New Roman" w:eastAsia="Times New Roman" w:hAnsi="Times New Roman" w:cs="Times New Roman"/>
          <w:sz w:val="24"/>
          <w:szCs w:val="24"/>
          <w:lang w:eastAsia="ru-RU"/>
        </w:rPr>
        <w:t xml:space="preserve">. </w:t>
      </w:r>
    </w:p>
    <w:p w:rsidR="00F81E51" w:rsidRPr="00E21B86"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0"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0"/>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F81E51"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F81E51" w:rsidRDefault="00F81E51" w:rsidP="00F81E51">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F81E51" w:rsidRPr="002A4297" w:rsidRDefault="00F81E51" w:rsidP="00F81E51">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F81E51"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1"/>
    </w:p>
    <w:p w:rsidR="00F81E51" w:rsidRPr="003E2BD2" w:rsidRDefault="00F81E51" w:rsidP="00F81E51">
      <w:pPr>
        <w:pStyle w:val="af3"/>
        <w:numPr>
          <w:ilvl w:val="1"/>
          <w:numId w:val="10"/>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rsidR="00F81E51" w:rsidRPr="00220FD4"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F81E51" w:rsidRPr="002A4297" w:rsidRDefault="00F81E51" w:rsidP="00F81E51">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F81E51" w:rsidRPr="002A4297" w:rsidRDefault="00F81E51" w:rsidP="00F81E51">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F81E51" w:rsidRPr="002A4297" w:rsidRDefault="00F81E51" w:rsidP="00F81E51">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F81E51" w:rsidRPr="002A4297" w:rsidRDefault="00F81E51" w:rsidP="00F81E51">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A4297">
        <w:rPr>
          <w:rFonts w:ascii="Times New Roman" w:eastAsia="Times New Roman" w:hAnsi="Times New Roman" w:cs="Times New Roman"/>
          <w:color w:val="000000"/>
          <w:sz w:val="24"/>
          <w:szCs w:val="24"/>
          <w:lang w:eastAsia="ru-RU"/>
        </w:rPr>
        <w:t>недостижения</w:t>
      </w:r>
      <w:proofErr w:type="spellEnd"/>
      <w:r w:rsidRPr="002A429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2" w:name="_Ref1393199"/>
    </w:p>
    <w:bookmarkEnd w:id="12"/>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F81E51" w:rsidRPr="002A4297" w:rsidRDefault="00F81E51" w:rsidP="00F81E51">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F81E51"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F81E51" w:rsidRPr="00A36E00" w:rsidRDefault="00F81E51" w:rsidP="00F81E51">
      <w:pPr>
        <w:pStyle w:val="af3"/>
        <w:numPr>
          <w:ilvl w:val="1"/>
          <w:numId w:val="10"/>
        </w:numPr>
        <w:ind w:left="0" w:firstLine="709"/>
        <w:jc w:val="both"/>
        <w:rPr>
          <w:sz w:val="24"/>
          <w:szCs w:val="24"/>
        </w:rPr>
      </w:pPr>
      <w:bookmarkStart w:id="13"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fldChar w:fldCharType="begin"/>
      </w:r>
      <w:r>
        <w:rPr>
          <w:sz w:val="24"/>
          <w:szCs w:val="24"/>
        </w:rPr>
        <w:instrText xml:space="preserve"> REF _Ref486328623 \r \h </w:instrText>
      </w:r>
      <w:r>
        <w:rPr>
          <w:sz w:val="24"/>
          <w:szCs w:val="24"/>
        </w:rPr>
      </w:r>
      <w:r>
        <w:rPr>
          <w:sz w:val="24"/>
          <w:szCs w:val="24"/>
        </w:rPr>
        <w:fldChar w:fldCharType="separate"/>
      </w:r>
      <w:r>
        <w:rPr>
          <w:sz w:val="24"/>
          <w:szCs w:val="24"/>
        </w:rPr>
        <w:t>13</w:t>
      </w:r>
      <w:r>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3"/>
      <w:r w:rsidRPr="00A36E00">
        <w:rPr>
          <w:sz w:val="24"/>
          <w:szCs w:val="24"/>
        </w:rPr>
        <w:t xml:space="preserve"> </w:t>
      </w:r>
    </w:p>
    <w:p w:rsidR="00F81E51" w:rsidRPr="00623348" w:rsidRDefault="00F81E51" w:rsidP="00F81E5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F81E51" w:rsidRPr="00623348" w:rsidRDefault="00F81E51" w:rsidP="00F81E5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F81E51" w:rsidRPr="00623348" w:rsidRDefault="00F81E51" w:rsidP="00F81E5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F81E51" w:rsidRPr="00623348" w:rsidRDefault="00F81E51" w:rsidP="00F81E5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F81E51" w:rsidRPr="00623348" w:rsidRDefault="00F81E51" w:rsidP="00F81E5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F81E51" w:rsidRPr="00623348" w:rsidRDefault="00F81E51" w:rsidP="00F81E5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rsidR="00F81E51" w:rsidRDefault="00F81E51" w:rsidP="00F81E51">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F81E51" w:rsidRPr="00122F11" w:rsidRDefault="00F81E51" w:rsidP="00F81E51">
      <w:pPr>
        <w:pStyle w:val="af3"/>
        <w:numPr>
          <w:ilvl w:val="1"/>
          <w:numId w:val="10"/>
        </w:numPr>
        <w:tabs>
          <w:tab w:val="left" w:pos="-5387"/>
        </w:tabs>
        <w:snapToGrid w:val="0"/>
        <w:ind w:left="0" w:firstLine="709"/>
        <w:jc w:val="both"/>
        <w:rPr>
          <w:sz w:val="24"/>
          <w:szCs w:val="24"/>
        </w:rPr>
      </w:pPr>
      <w:r>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F81E51" w:rsidRPr="00493A51" w:rsidRDefault="00F81E51" w:rsidP="00F81E51">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proofErr w:type="spellStart"/>
      <w:r w:rsidRPr="004877E6">
        <w:rPr>
          <w:b/>
          <w:sz w:val="24"/>
          <w:lang w:val="en-US"/>
        </w:rPr>
        <w:t>crem</w:t>
      </w:r>
      <w:proofErr w:type="spellEnd"/>
      <w:r w:rsidRPr="004877E6">
        <w:rPr>
          <w:b/>
          <w:sz w:val="24"/>
        </w:rPr>
        <w:t>@</w:t>
      </w:r>
      <w:proofErr w:type="spellStart"/>
      <w:r w:rsidRPr="004877E6">
        <w:rPr>
          <w:b/>
          <w:sz w:val="24"/>
          <w:lang w:val="en-US"/>
        </w:rPr>
        <w:t>sberbank</w:t>
      </w:r>
      <w:proofErr w:type="spellEnd"/>
      <w:r w:rsidRPr="004877E6">
        <w:rPr>
          <w:b/>
          <w:sz w:val="24"/>
        </w:rPr>
        <w:t>.</w:t>
      </w:r>
      <w:proofErr w:type="spellStart"/>
      <w:r w:rsidRPr="004877E6">
        <w:rPr>
          <w:b/>
          <w:sz w:val="24"/>
          <w:lang w:val="en-US"/>
        </w:rPr>
        <w:t>ru</w:t>
      </w:r>
      <w:proofErr w:type="spellEnd"/>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пунктом </w:t>
      </w:r>
      <w:r>
        <w:rPr>
          <w:sz w:val="24"/>
        </w:rPr>
        <w:fldChar w:fldCharType="begin"/>
      </w:r>
      <w:r>
        <w:rPr>
          <w:sz w:val="24"/>
        </w:rPr>
        <w:instrText xml:space="preserve"> REF _Ref82077350 \r \h </w:instrText>
      </w:r>
      <w:r>
        <w:rPr>
          <w:sz w:val="24"/>
        </w:rPr>
      </w:r>
      <w:r>
        <w:rPr>
          <w:sz w:val="24"/>
        </w:rPr>
        <w:fldChar w:fldCharType="separate"/>
      </w:r>
      <w:r>
        <w:rPr>
          <w:sz w:val="24"/>
        </w:rPr>
        <w:t>11.3</w:t>
      </w:r>
      <w:r>
        <w:rPr>
          <w:sz w:val="24"/>
        </w:rPr>
        <w:fldChar w:fldCharType="end"/>
      </w:r>
      <w:r>
        <w:rPr>
          <w:sz w:val="24"/>
        </w:rPr>
        <w:t xml:space="preserve"> Договора</w:t>
      </w:r>
      <w:r w:rsidRPr="00493A51">
        <w:rPr>
          <w:sz w:val="24"/>
        </w:rPr>
        <w:t>.</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F81E51" w:rsidRPr="002A4297" w:rsidRDefault="00F81E51" w:rsidP="00F81E51">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p>
    <w:p w:rsidR="00F81E51" w:rsidRPr="002A4297" w:rsidRDefault="00F81E51" w:rsidP="00F81E51">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F81E51" w:rsidRDefault="00F81E51" w:rsidP="00F81E51">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8D38AF" w:rsidRPr="002A4297" w:rsidRDefault="008D38AF" w:rsidP="00F81E51">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3 – Планировка </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Default="00F81E51" w:rsidP="00F81E51">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4" w:name="_Ref486328623"/>
      <w:r w:rsidRPr="002A4297">
        <w:rPr>
          <w:rFonts w:ascii="Times New Roman" w:eastAsia="Times New Roman" w:hAnsi="Times New Roman" w:cs="Times New Roman"/>
          <w:b/>
          <w:sz w:val="24"/>
          <w:szCs w:val="24"/>
          <w:lang w:eastAsia="ru-RU"/>
        </w:rPr>
        <w:t>Реквизиты и подписи Сторон</w:t>
      </w:r>
      <w:bookmarkEnd w:id="14"/>
    </w:p>
    <w:p w:rsidR="00F81E51" w:rsidRPr="002A4297" w:rsidRDefault="00F81E51" w:rsidP="00F81E51">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9"/>
      </w:r>
      <w:r w:rsidRPr="002A4297">
        <w:rPr>
          <w:rFonts w:ascii="Times New Roman" w:eastAsia="Times New Roman" w:hAnsi="Times New Roman" w:cs="Times New Roman"/>
          <w:b/>
          <w:sz w:val="24"/>
          <w:szCs w:val="24"/>
          <w:lang w:eastAsia="ru-RU"/>
        </w:rPr>
        <w:t>:</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F81E51" w:rsidRPr="002A4297" w:rsidRDefault="00F81E51" w:rsidP="00F81E51">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F81E51" w:rsidRPr="002A4297" w:rsidRDefault="00F81E51" w:rsidP="00F81E51">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F81E51" w:rsidRPr="002A4297" w:rsidRDefault="00F81E51" w:rsidP="00F81E51">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F81E51" w:rsidRPr="002A4297" w:rsidRDefault="00F81E51" w:rsidP="00F81E51">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F81E51" w:rsidRPr="002A4297" w:rsidRDefault="00F81E51" w:rsidP="00F81E51">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F81E51" w:rsidRPr="002A4297" w:rsidTr="00831FB9">
        <w:tc>
          <w:tcPr>
            <w:tcW w:w="4788"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F81E51" w:rsidRPr="002A4297" w:rsidTr="00831FB9">
        <w:tc>
          <w:tcPr>
            <w:tcW w:w="4788"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Должность</w:t>
            </w:r>
          </w:p>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F81E51" w:rsidRPr="002A4297" w:rsidRDefault="00F81E51" w:rsidP="00831FB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F81E51" w:rsidRPr="002A4297" w:rsidRDefault="00F81E51" w:rsidP="00F81E51">
      <w:pPr>
        <w:widowControl w:val="0"/>
        <w:spacing w:after="0" w:line="240" w:lineRule="auto"/>
        <w:rPr>
          <w:rFonts w:ascii="Times New Roman" w:eastAsia="Times New Roman" w:hAnsi="Times New Roman" w:cs="Times New Roman"/>
          <w:sz w:val="24"/>
          <w:szCs w:val="20"/>
          <w:lang w:eastAsia="ru-RU"/>
        </w:rPr>
      </w:pPr>
    </w:p>
    <w:p w:rsidR="00F81E51" w:rsidRPr="002A4297" w:rsidRDefault="00F81E51" w:rsidP="00F81E51">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F81E51" w:rsidRPr="002A4297" w:rsidRDefault="00F81E51" w:rsidP="00F81E51">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1</w:t>
      </w:r>
    </w:p>
    <w:p w:rsidR="00F81E51" w:rsidRPr="002A4297" w:rsidRDefault="00F81E51" w:rsidP="00F81E51">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F81E51" w:rsidRPr="002A4297" w:rsidRDefault="00F81E51" w:rsidP="00F81E51">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F81E51" w:rsidRPr="002A4297" w:rsidRDefault="00F81E51" w:rsidP="00F81E51">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F81E51" w:rsidRPr="002A4297" w:rsidRDefault="00F81E51" w:rsidP="00F81E51">
      <w:pPr>
        <w:widowControl w:val="0"/>
        <w:snapToGrid w:val="0"/>
        <w:spacing w:after="0" w:line="240" w:lineRule="auto"/>
        <w:contextualSpacing/>
        <w:rPr>
          <w:rFonts w:ascii="Times New Roman" w:eastAsia="Times New Roman" w:hAnsi="Times New Roman" w:cs="Times New Roman"/>
          <w:sz w:val="24"/>
          <w:szCs w:val="24"/>
          <w:lang w:eastAsia="ru-RU"/>
        </w:rPr>
      </w:pPr>
    </w:p>
    <w:p w:rsidR="00F81E51" w:rsidRPr="002A4297" w:rsidRDefault="00F81E51" w:rsidP="00F81E51">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F81E51" w:rsidRPr="002A4297" w:rsidRDefault="00F81E51" w:rsidP="00F81E51">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F81E51" w:rsidRPr="002A4297" w:rsidRDefault="00F81E51" w:rsidP="00F81E51">
      <w:pPr>
        <w:widowControl w:val="0"/>
        <w:snapToGrid w:val="0"/>
        <w:spacing w:after="0" w:line="240" w:lineRule="auto"/>
        <w:contextualSpacing/>
        <w:rPr>
          <w:rFonts w:ascii="Times New Roman" w:eastAsia="Times New Roman" w:hAnsi="Times New Roman" w:cs="Times New Roman"/>
          <w:sz w:val="24"/>
          <w:szCs w:val="24"/>
          <w:lang w:eastAsia="ru-RU"/>
        </w:rPr>
      </w:pPr>
    </w:p>
    <w:p w:rsidR="00F81E51" w:rsidRPr="002A4297" w:rsidRDefault="00F81E51" w:rsidP="00F81E51">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F81E51" w:rsidRPr="002A4297" w:rsidRDefault="00F81E51" w:rsidP="00F81E51">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F81E51" w:rsidRPr="002A4297" w:rsidRDefault="00F81E51" w:rsidP="00F81E51">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F81E51" w:rsidRPr="002A4297" w:rsidRDefault="00F81E51" w:rsidP="00F81E51">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F81E51" w:rsidRPr="002A4297" w:rsidRDefault="00F81E51" w:rsidP="00F81E51">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11"/>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F81E51" w:rsidRPr="002A4297" w:rsidRDefault="00F81E51" w:rsidP="00F81E51">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3"/>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4"/>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окраска, паркет, плитка, др. покрытие)</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F81E51" w:rsidRPr="002A4297" w:rsidRDefault="00F81E51" w:rsidP="00F81E51">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F81E51" w:rsidRPr="002A4297" w:rsidRDefault="00F81E51" w:rsidP="00F81E51">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8"/>
      </w:r>
    </w:p>
    <w:p w:rsidR="00F81E51" w:rsidRPr="002A4297" w:rsidRDefault="00F81E51" w:rsidP="00F81E51">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19"/>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F81E51" w:rsidRPr="002A4297" w:rsidRDefault="00F81E51" w:rsidP="00F81E51">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F81E51" w:rsidRPr="002A4297" w:rsidRDefault="00F81E51" w:rsidP="00F81E51">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F81E51" w:rsidRPr="002A4297" w:rsidTr="00831FB9">
        <w:tc>
          <w:tcPr>
            <w:tcW w:w="4788"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F81E51" w:rsidRPr="002A4297" w:rsidTr="00831FB9">
        <w:tc>
          <w:tcPr>
            <w:tcW w:w="4788"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Должность</w:t>
            </w:r>
          </w:p>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F81E51" w:rsidRPr="002A4297" w:rsidRDefault="00F81E51" w:rsidP="00831FB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F81E51" w:rsidRPr="002A4297" w:rsidRDefault="00F81E51" w:rsidP="00F81E51">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F81E51" w:rsidRPr="002A4297" w:rsidRDefault="00F81E51" w:rsidP="00F81E51">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F81E51" w:rsidRPr="002A4297" w:rsidTr="00831FB9">
        <w:tc>
          <w:tcPr>
            <w:tcW w:w="4788"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F81E51" w:rsidRPr="002A4297" w:rsidTr="00831FB9">
        <w:tc>
          <w:tcPr>
            <w:tcW w:w="4788"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Должность</w:t>
            </w:r>
          </w:p>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F81E51" w:rsidRPr="002A4297" w:rsidRDefault="00F81E51" w:rsidP="00831FB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F81E51" w:rsidRPr="002A4297" w:rsidRDefault="00F81E51" w:rsidP="00F81E51">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F81E51" w:rsidRPr="002A4297" w:rsidRDefault="00F81E51" w:rsidP="00F81E51">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2</w:t>
      </w:r>
    </w:p>
    <w:p w:rsidR="00F81E51" w:rsidRPr="002A4297" w:rsidRDefault="00F81E51" w:rsidP="00F81E51">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F81E51" w:rsidRPr="002A4297" w:rsidRDefault="00F81E51" w:rsidP="00F81E51">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F81E51" w:rsidRPr="002A4297" w:rsidRDefault="00F81E51" w:rsidP="00F81E51">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F81E51" w:rsidRPr="002A4297" w:rsidRDefault="00F81E51" w:rsidP="00F81E51">
      <w:pPr>
        <w:widowControl w:val="0"/>
        <w:spacing w:after="0" w:line="240" w:lineRule="auto"/>
        <w:ind w:left="360"/>
        <w:rPr>
          <w:rFonts w:ascii="Times New Roman" w:eastAsia="Times New Roman" w:hAnsi="Times New Roman" w:cs="Times New Roman"/>
          <w:b/>
          <w:sz w:val="24"/>
          <w:szCs w:val="24"/>
          <w:lang w:eastAsia="ru-RU"/>
        </w:rPr>
      </w:pPr>
    </w:p>
    <w:p w:rsidR="00F81E51" w:rsidRPr="002A4297" w:rsidRDefault="00F81E51" w:rsidP="00F81E51">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F81E51" w:rsidRPr="002A4297" w:rsidRDefault="00F81E51" w:rsidP="00F81E51">
      <w:pPr>
        <w:spacing w:after="0" w:line="240" w:lineRule="auto"/>
        <w:contextualSpacing/>
        <w:jc w:val="both"/>
        <w:rPr>
          <w:rFonts w:ascii="Times New Roman" w:eastAsia="Calibri" w:hAnsi="Times New Roman" w:cs="Times New Roman"/>
          <w:sz w:val="24"/>
          <w:szCs w:val="24"/>
          <w:lang w:eastAsia="ru-RU"/>
        </w:rPr>
      </w:pPr>
    </w:p>
    <w:p w:rsidR="00F81E51" w:rsidRPr="00F0621D" w:rsidRDefault="00F81E51" w:rsidP="00F81E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F81E51" w:rsidRPr="00F0621D" w:rsidRDefault="00F81E51" w:rsidP="00F81E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24"/>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F81E51" w:rsidRPr="00F0621D" w:rsidRDefault="00F81E51" w:rsidP="00F81E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F81E51" w:rsidRPr="00F0621D" w:rsidRDefault="00F81E51" w:rsidP="00F81E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25"/>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F81E51" w:rsidRPr="00F0621D" w:rsidRDefault="00F81E51" w:rsidP="00F81E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F81E51" w:rsidRPr="00F0621D" w:rsidRDefault="00F81E51" w:rsidP="00F81E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2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2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28"/>
      </w:r>
      <w:r w:rsidRPr="00F0621D">
        <w:rPr>
          <w:rFonts w:ascii="Times New Roman" w:eastAsia="Times New Roman" w:hAnsi="Times New Roman" w:cs="Times New Roman"/>
          <w:iCs/>
          <w:sz w:val="24"/>
          <w:szCs w:val="24"/>
          <w:lang w:eastAsia="ru-RU"/>
        </w:rPr>
        <w:t>.</w:t>
      </w:r>
    </w:p>
    <w:p w:rsidR="00F81E51" w:rsidRPr="00F0621D" w:rsidRDefault="00F81E51" w:rsidP="00F81E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F81E51" w:rsidRPr="00F0621D" w:rsidRDefault="00F81E51" w:rsidP="00F81E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F81E51" w:rsidRPr="00F0621D" w:rsidRDefault="00F81E51" w:rsidP="00F81E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29"/>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F81E51" w:rsidRPr="001E0678" w:rsidRDefault="00F81E51" w:rsidP="00F81E51">
      <w:pPr>
        <w:autoSpaceDE w:val="0"/>
        <w:autoSpaceDN w:val="0"/>
        <w:spacing w:after="0" w:line="240" w:lineRule="auto"/>
        <w:rPr>
          <w:rFonts w:ascii="Times New Roman" w:eastAsia="Times New Roman" w:hAnsi="Times New Roman" w:cs="Times New Roman"/>
          <w:sz w:val="24"/>
          <w:szCs w:val="24"/>
          <w:lang w:eastAsia="ru-RU"/>
        </w:rPr>
      </w:pPr>
    </w:p>
    <w:p w:rsidR="00F81E51" w:rsidRPr="001E0678" w:rsidRDefault="00F81E51" w:rsidP="00F81E51">
      <w:pPr>
        <w:autoSpaceDE w:val="0"/>
        <w:autoSpaceDN w:val="0"/>
        <w:spacing w:after="0" w:line="240" w:lineRule="auto"/>
        <w:jc w:val="both"/>
        <w:rPr>
          <w:rFonts w:ascii="Times New Roman" w:eastAsia="Times New Roman" w:hAnsi="Times New Roman" w:cs="Times New Roman"/>
          <w:iCs/>
          <w:sz w:val="24"/>
          <w:szCs w:val="24"/>
          <w:lang w:eastAsia="ru-RU"/>
        </w:rPr>
      </w:pPr>
    </w:p>
    <w:p w:rsidR="00F81E51" w:rsidRPr="00140C09" w:rsidRDefault="00F81E51" w:rsidP="00F81E51">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F81E51" w:rsidRPr="002A4297" w:rsidRDefault="00F81E51" w:rsidP="00F81E51">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F81E51" w:rsidRPr="002A4297" w:rsidTr="00831FB9">
        <w:tc>
          <w:tcPr>
            <w:tcW w:w="4788"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F81E51" w:rsidRPr="002A4297" w:rsidTr="00831FB9">
        <w:tc>
          <w:tcPr>
            <w:tcW w:w="4788"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Должность</w:t>
            </w:r>
          </w:p>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F81E51" w:rsidRPr="002A4297" w:rsidRDefault="00F81E51" w:rsidP="00831FB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F81E51" w:rsidRPr="002A4297" w:rsidRDefault="00F81E51" w:rsidP="00F81E51">
      <w:pPr>
        <w:spacing w:after="0" w:line="240" w:lineRule="auto"/>
        <w:contextualSpacing/>
        <w:jc w:val="both"/>
        <w:rPr>
          <w:rFonts w:ascii="Times New Roman" w:eastAsia="Calibri" w:hAnsi="Times New Roman" w:cs="Times New Roman"/>
          <w:sz w:val="24"/>
          <w:szCs w:val="20"/>
          <w:lang w:eastAsia="ru-RU"/>
        </w:rPr>
      </w:pPr>
    </w:p>
    <w:p w:rsidR="008D38AF" w:rsidRPr="002A4297" w:rsidRDefault="00F81E51" w:rsidP="008D38AF">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0"/>
          <w:lang w:eastAsia="ru-RU"/>
        </w:rPr>
        <w:br w:type="page"/>
      </w:r>
      <w:r w:rsidR="008D38AF">
        <w:rPr>
          <w:rFonts w:ascii="Times New Roman" w:eastAsia="Times New Roman" w:hAnsi="Times New Roman" w:cs="Times New Roman"/>
          <w:b/>
          <w:sz w:val="24"/>
          <w:szCs w:val="24"/>
          <w:lang w:val="x-none" w:eastAsia="x-none"/>
        </w:rPr>
        <w:t>Приложение № 3</w:t>
      </w:r>
    </w:p>
    <w:p w:rsidR="008D38AF" w:rsidRPr="002A4297" w:rsidRDefault="008D38AF" w:rsidP="008D38A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8D38AF" w:rsidRPr="002A4297" w:rsidRDefault="008D38AF" w:rsidP="008D38A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F81E51" w:rsidRDefault="008D38AF" w:rsidP="008D38AF">
      <w:pPr>
        <w:widowControl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8D38AF" w:rsidRDefault="008D38AF" w:rsidP="008D38AF">
      <w:pPr>
        <w:widowControl w:val="0"/>
        <w:spacing w:after="0" w:line="240" w:lineRule="auto"/>
        <w:jc w:val="center"/>
        <w:rPr>
          <w:rFonts w:ascii="Times New Roman" w:eastAsia="Times New Roman" w:hAnsi="Times New Roman" w:cs="Times New Roman"/>
          <w:sz w:val="24"/>
          <w:szCs w:val="24"/>
          <w:lang w:eastAsia="ru-RU"/>
        </w:rPr>
      </w:pPr>
    </w:p>
    <w:p w:rsidR="008D38AF" w:rsidRDefault="008D38AF" w:rsidP="008D38AF">
      <w:pPr>
        <w:widowControl w:val="0"/>
        <w:spacing w:after="0" w:line="240" w:lineRule="auto"/>
        <w:jc w:val="center"/>
        <w:rPr>
          <w:rFonts w:ascii="Times New Roman" w:eastAsia="Times New Roman" w:hAnsi="Times New Roman" w:cs="Times New Roman"/>
          <w:sz w:val="24"/>
          <w:szCs w:val="20"/>
          <w:lang w:eastAsia="ru-RU"/>
        </w:rPr>
      </w:pPr>
      <w:r>
        <w:rPr>
          <w:noProof/>
          <w:lang w:eastAsia="ru-RU"/>
        </w:rPr>
        <w:drawing>
          <wp:inline distT="0" distB="0" distL="0" distR="0" wp14:anchorId="3A30E338" wp14:editId="4181DE04">
            <wp:extent cx="4145492" cy="2487295"/>
            <wp:effectExtent l="0" t="0" r="762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47828" cy="2488697"/>
                    </a:xfrm>
                    <a:prstGeom prst="rect">
                      <a:avLst/>
                    </a:prstGeom>
                  </pic:spPr>
                </pic:pic>
              </a:graphicData>
            </a:graphic>
          </wp:inline>
        </w:drawing>
      </w:r>
    </w:p>
    <w:p w:rsidR="008D38AF" w:rsidRDefault="008D38AF" w:rsidP="008D38AF">
      <w:pPr>
        <w:widowControl w:val="0"/>
        <w:spacing w:after="0" w:line="240" w:lineRule="auto"/>
        <w:jc w:val="center"/>
        <w:rPr>
          <w:rFonts w:ascii="Times New Roman" w:eastAsia="Times New Roman" w:hAnsi="Times New Roman" w:cs="Times New Roman"/>
          <w:sz w:val="24"/>
          <w:szCs w:val="20"/>
          <w:lang w:eastAsia="ru-RU"/>
        </w:rPr>
      </w:pPr>
      <w:r>
        <w:rPr>
          <w:noProof/>
          <w:lang w:eastAsia="ru-RU"/>
        </w:rPr>
        <w:drawing>
          <wp:inline distT="0" distB="0" distL="0" distR="0" wp14:anchorId="79A16BF1" wp14:editId="23DED1E8">
            <wp:extent cx="4437156" cy="3025140"/>
            <wp:effectExtent l="0" t="0" r="190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59977" cy="3040699"/>
                    </a:xfrm>
                    <a:prstGeom prst="rect">
                      <a:avLst/>
                    </a:prstGeom>
                  </pic:spPr>
                </pic:pic>
              </a:graphicData>
            </a:graphic>
          </wp:inline>
        </w:drawing>
      </w:r>
    </w:p>
    <w:p w:rsidR="008D38AF" w:rsidRPr="00140C09" w:rsidRDefault="008D38AF" w:rsidP="008D38AF">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8D38AF" w:rsidRPr="002A4297" w:rsidRDefault="008D38AF" w:rsidP="008D38AF">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8D38AF" w:rsidRPr="002A4297" w:rsidTr="00520BEF">
        <w:tc>
          <w:tcPr>
            <w:tcW w:w="4788" w:type="dxa"/>
            <w:shd w:val="clear" w:color="auto" w:fill="auto"/>
          </w:tcPr>
          <w:p w:rsidR="008D38AF" w:rsidRPr="002A4297" w:rsidRDefault="008D38AF" w:rsidP="00520BE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8D38AF" w:rsidRPr="002A4297" w:rsidRDefault="008D38AF" w:rsidP="00520BE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8D38AF" w:rsidRPr="002A4297" w:rsidRDefault="008D38AF" w:rsidP="00520BE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8D38AF" w:rsidRPr="002A4297" w:rsidTr="00520BEF">
        <w:tc>
          <w:tcPr>
            <w:tcW w:w="4788" w:type="dxa"/>
            <w:shd w:val="clear" w:color="auto" w:fill="auto"/>
          </w:tcPr>
          <w:p w:rsidR="008D38AF" w:rsidRPr="002A4297" w:rsidRDefault="008D38AF" w:rsidP="00520BE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Должность</w:t>
            </w:r>
          </w:p>
          <w:p w:rsidR="008D38AF" w:rsidRPr="002A4297" w:rsidRDefault="008D38AF" w:rsidP="00520BE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8D38AF" w:rsidRPr="002A4297" w:rsidRDefault="008D38AF" w:rsidP="00520BE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8D38AF" w:rsidRPr="002A4297" w:rsidRDefault="008D38AF" w:rsidP="00520BE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8D38AF" w:rsidRPr="002A4297" w:rsidRDefault="008D38AF" w:rsidP="00520BE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8D38AF" w:rsidRPr="002A4297" w:rsidRDefault="008D38AF" w:rsidP="00520BE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8D38AF" w:rsidRPr="002A4297" w:rsidRDefault="008D38AF" w:rsidP="00520BE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8D38AF" w:rsidRPr="002A4297" w:rsidRDefault="008D38AF" w:rsidP="00520BE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8D38AF" w:rsidRPr="002A4297" w:rsidRDefault="008D38AF" w:rsidP="00520BE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8D38AF" w:rsidRPr="002A4297" w:rsidRDefault="008D38AF" w:rsidP="00520BE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8D38AF" w:rsidRPr="002A4297" w:rsidRDefault="008D38AF" w:rsidP="00520BE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8D38AF" w:rsidRPr="002A4297" w:rsidRDefault="008D38AF" w:rsidP="008D38AF">
      <w:pPr>
        <w:widowControl w:val="0"/>
        <w:spacing w:after="0" w:line="240" w:lineRule="auto"/>
        <w:jc w:val="center"/>
        <w:rPr>
          <w:rFonts w:ascii="Times New Roman" w:eastAsia="Times New Roman" w:hAnsi="Times New Roman" w:cs="Times New Roman"/>
          <w:sz w:val="24"/>
          <w:szCs w:val="20"/>
          <w:lang w:eastAsia="ru-RU"/>
        </w:rPr>
      </w:pPr>
    </w:p>
    <w:sectPr w:rsidR="008D38AF" w:rsidRPr="002A429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5B" w:rsidRDefault="00D97E5B" w:rsidP="00F81E51">
      <w:pPr>
        <w:spacing w:after="0" w:line="240" w:lineRule="auto"/>
      </w:pPr>
      <w:r>
        <w:separator/>
      </w:r>
    </w:p>
  </w:endnote>
  <w:endnote w:type="continuationSeparator" w:id="0">
    <w:p w:rsidR="00D97E5B" w:rsidRDefault="00D97E5B" w:rsidP="00F81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E51" w:rsidRDefault="00F81E5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E51" w:rsidRDefault="00DE3508">
    <w:pPr>
      <w:pStyle w:val="a7"/>
    </w:pPr>
    <w:r>
      <w:rPr>
        <w:noProof/>
        <w:lang w:eastAsia="ru-RU"/>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E51" w:rsidRDefault="00F81E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5B" w:rsidRDefault="00D97E5B" w:rsidP="00F81E51">
      <w:pPr>
        <w:spacing w:after="0" w:line="240" w:lineRule="auto"/>
      </w:pPr>
      <w:r>
        <w:separator/>
      </w:r>
    </w:p>
  </w:footnote>
  <w:footnote w:type="continuationSeparator" w:id="0">
    <w:p w:rsidR="00D97E5B" w:rsidRDefault="00D97E5B" w:rsidP="00F81E51">
      <w:pPr>
        <w:spacing w:after="0" w:line="240" w:lineRule="auto"/>
      </w:pPr>
      <w:r>
        <w:continuationSeparator/>
      </w:r>
    </w:p>
  </w:footnote>
  <w:footnote w:id="1">
    <w:p w:rsidR="00F81E51" w:rsidRPr="00623348" w:rsidRDefault="00F81E51" w:rsidP="00F81E51">
      <w:pPr>
        <w:pStyle w:val="a9"/>
        <w:jc w:val="both"/>
        <w:rPr>
          <w:lang w:val="ru-RU"/>
        </w:rPr>
      </w:pPr>
      <w:r>
        <w:rPr>
          <w:rStyle w:val="af5"/>
        </w:rPr>
        <w:footnoteRef/>
      </w:r>
      <w:r>
        <w:t xml:space="preserve"> </w:t>
      </w:r>
      <w:r w:rsidRPr="00BD61A9">
        <w:rPr>
          <w:lang w:val="ru-RU"/>
        </w:rPr>
        <w:t>Указывается</w:t>
      </w:r>
      <w:r>
        <w:rPr>
          <w:lang w:val="ru-RU"/>
        </w:rPr>
        <w:t xml:space="preserve"> </w:t>
      </w:r>
      <w:r w:rsidRPr="00BD61A9">
        <w:rPr>
          <w:lang w:val="ru-RU"/>
        </w:rPr>
        <w:t>полное и сокращённое наименование контрагента</w:t>
      </w:r>
      <w:r>
        <w:rPr>
          <w:lang w:val="ru-RU"/>
        </w:rPr>
        <w:t xml:space="preserve"> (Покупателя).</w:t>
      </w:r>
    </w:p>
  </w:footnote>
  <w:footnote w:id="2">
    <w:p w:rsidR="00F81E51" w:rsidRPr="00BD61A9" w:rsidRDefault="00F81E51" w:rsidP="00F81E51">
      <w:pPr>
        <w:pStyle w:val="a9"/>
        <w:jc w:val="both"/>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Покупателя.</w:t>
      </w:r>
    </w:p>
  </w:footnote>
  <w:footnote w:id="3">
    <w:p w:rsidR="00F81E51" w:rsidRPr="00BD61A9" w:rsidRDefault="00F81E51" w:rsidP="00F81E51">
      <w:pPr>
        <w:pStyle w:val="a9"/>
        <w:jc w:val="both"/>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Покупателя.</w:t>
      </w:r>
    </w:p>
  </w:footnote>
  <w:footnote w:id="4">
    <w:p w:rsidR="00F81E51" w:rsidRPr="001B6F8F" w:rsidRDefault="00F81E51" w:rsidP="00F81E51">
      <w:pPr>
        <w:pStyle w:val="a9"/>
        <w:jc w:val="both"/>
      </w:pPr>
      <w:r w:rsidRPr="001B6F8F">
        <w:rPr>
          <w:rStyle w:val="af5"/>
        </w:rPr>
        <w:footnoteRef/>
      </w:r>
      <w:r w:rsidRPr="001B6F8F">
        <w:t xml:space="preserve"> </w:t>
      </w:r>
      <w:r w:rsidRPr="001B6F8F">
        <w:t>Если Покупателем является физическое лицо, для него указываются: фамилия, имя, отчество (полностью)</w:t>
      </w:r>
      <w:r>
        <w:rPr>
          <w:lang w:val="ru-RU"/>
        </w:rP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rsidR="00F81E51" w:rsidRPr="00623348" w:rsidRDefault="00F81E51" w:rsidP="00F81E51">
      <w:pPr>
        <w:pStyle w:val="a9"/>
        <w:jc w:val="both"/>
        <w:rPr>
          <w:lang w:val="ru-RU"/>
        </w:rPr>
      </w:pPr>
      <w:r>
        <w:rPr>
          <w:rStyle w:val="af5"/>
        </w:rPr>
        <w:footnoteRef/>
      </w:r>
      <w:r>
        <w:t xml:space="preserve"> </w:t>
      </w:r>
      <w:r>
        <w:rPr>
          <w:lang w:val="ru-RU"/>
        </w:rPr>
        <w:t>Содержание пункта 1 Договора подлежит изменению в зависимости от конкретного состава реализуемого Имущества.</w:t>
      </w:r>
    </w:p>
  </w:footnote>
  <w:footnote w:id="6">
    <w:p w:rsidR="00F81E51" w:rsidRPr="001B6F8F" w:rsidRDefault="00F81E51" w:rsidP="00F81E51">
      <w:pPr>
        <w:pStyle w:val="a9"/>
        <w:jc w:val="both"/>
      </w:pPr>
      <w:r w:rsidRPr="001B6F8F">
        <w:rPr>
          <w:rStyle w:val="af5"/>
        </w:rPr>
        <w:footnoteRef/>
      </w:r>
      <w:r w:rsidRPr="001B6F8F">
        <w:t xml:space="preserve"> </w:t>
      </w:r>
      <w:r w:rsidRPr="001B6F8F">
        <w:t>Приводится описание недвижимости и его характеристики (</w:t>
      </w:r>
      <w:r>
        <w:t>помещение/</w:t>
      </w:r>
      <w:r w:rsidRPr="001B6F8F">
        <w:t>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
    <w:p w:rsidR="00F81E51" w:rsidRPr="00A6567F" w:rsidRDefault="00F81E51" w:rsidP="00F81E51">
      <w:pPr>
        <w:pStyle w:val="a9"/>
        <w:jc w:val="both"/>
      </w:pPr>
      <w:r w:rsidRPr="00A6567F">
        <w:rPr>
          <w:rStyle w:val="af5"/>
        </w:rPr>
        <w:footnoteRef/>
      </w:r>
      <w:r w:rsidRPr="00A6567F">
        <w:t xml:space="preserve"> </w:t>
      </w:r>
      <w:r w:rsidRPr="00A6567F">
        <w:t xml:space="preserve">Указывается в соответствии с </w:t>
      </w:r>
      <w:r w:rsidRPr="001B6F8F">
        <w:t>Единым государственным реестром недвижимости.</w:t>
      </w:r>
    </w:p>
  </w:footnote>
  <w:footnote w:id="8">
    <w:p w:rsidR="00F81E51" w:rsidRPr="00623348" w:rsidRDefault="00F81E51" w:rsidP="00F81E51">
      <w:pPr>
        <w:pStyle w:val="a9"/>
        <w:jc w:val="both"/>
        <w:rPr>
          <w:lang w:val="ru-RU"/>
        </w:rPr>
      </w:pPr>
      <w:r w:rsidRPr="001B6F8F">
        <w:rPr>
          <w:rStyle w:val="af5"/>
        </w:rPr>
        <w:footnoteRef/>
      </w:r>
      <w:r w:rsidRPr="001B6F8F">
        <w:t xml:space="preserve"> </w:t>
      </w:r>
      <w:r w:rsidRPr="001B6F8F">
        <w:t>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Pr>
          <w:lang w:val="ru-RU"/>
        </w:rP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9">
    <w:p w:rsidR="00F81E51" w:rsidRPr="001B6F8F" w:rsidRDefault="00F81E51" w:rsidP="00F81E51">
      <w:pPr>
        <w:pStyle w:val="a9"/>
        <w:jc w:val="both"/>
      </w:pPr>
      <w:r w:rsidRPr="001B6F8F">
        <w:rPr>
          <w:rStyle w:val="af5"/>
        </w:rPr>
        <w:footnoteRef/>
      </w:r>
      <w:r w:rsidRPr="001B6F8F">
        <w:t xml:space="preserve"> </w:t>
      </w:r>
      <w:r w:rsidRPr="001B6F8F">
        <w:t>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регистрации в качестве</w:t>
      </w:r>
      <w:r>
        <w:rPr>
          <w:lang w:val="ru-RU"/>
        </w:rPr>
        <w:t xml:space="preserve"> индивидуального предпринимателя, в </w:t>
      </w:r>
      <w:proofErr w:type="spellStart"/>
      <w:r>
        <w:rPr>
          <w:lang w:val="ru-RU"/>
        </w:rPr>
        <w:t>т.ч</w:t>
      </w:r>
      <w:proofErr w:type="spellEnd"/>
      <w:r>
        <w:rPr>
          <w:lang w:val="ru-RU"/>
        </w:rPr>
        <w:t>. ОГРНИП</w:t>
      </w:r>
      <w:r w:rsidRPr="001B6F8F">
        <w:t>.</w:t>
      </w:r>
    </w:p>
  </w:footnote>
  <w:footnote w:id="10">
    <w:p w:rsidR="00F81E51" w:rsidRPr="001B6F8F" w:rsidRDefault="00F81E51" w:rsidP="00F81E51">
      <w:pPr>
        <w:pStyle w:val="a9"/>
        <w:jc w:val="both"/>
      </w:pPr>
      <w:r w:rsidRPr="001B6F8F">
        <w:rPr>
          <w:rStyle w:val="af5"/>
        </w:rPr>
        <w:footnoteRef/>
      </w:r>
      <w:r w:rsidRPr="001B6F8F">
        <w:t xml:space="preserve"> </w:t>
      </w:r>
      <w:r w:rsidRPr="001B6F8F">
        <w:t>Пункт указывается при необходимости.</w:t>
      </w:r>
    </w:p>
  </w:footnote>
  <w:footnote w:id="11">
    <w:p w:rsidR="00F81E51" w:rsidRPr="001B6F8F" w:rsidRDefault="00F81E51" w:rsidP="00F81E51">
      <w:pPr>
        <w:pStyle w:val="a9"/>
        <w:jc w:val="both"/>
      </w:pPr>
      <w:r w:rsidRPr="001B6F8F">
        <w:rPr>
          <w:rStyle w:val="af5"/>
        </w:rPr>
        <w:footnoteRef/>
      </w:r>
      <w:r w:rsidRPr="001B6F8F">
        <w:t xml:space="preserve"> </w:t>
      </w:r>
      <w:r w:rsidRPr="001B6F8F">
        <w:t>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2">
    <w:p w:rsidR="00F81E51" w:rsidRPr="001B6F8F" w:rsidRDefault="00F81E51" w:rsidP="00F81E51">
      <w:pPr>
        <w:pStyle w:val="a9"/>
        <w:jc w:val="both"/>
      </w:pPr>
      <w:r w:rsidRPr="001B6F8F">
        <w:rPr>
          <w:rStyle w:val="af5"/>
        </w:rPr>
        <w:footnoteRef/>
      </w:r>
      <w:r w:rsidRPr="001B6F8F">
        <w:t xml:space="preserve"> </w:t>
      </w:r>
      <w:r w:rsidRPr="001B6F8F">
        <w:t>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3">
    <w:p w:rsidR="00F81E51" w:rsidRPr="001B6F8F" w:rsidRDefault="00F81E51" w:rsidP="00F81E51">
      <w:pPr>
        <w:pStyle w:val="a9"/>
        <w:jc w:val="both"/>
      </w:pPr>
      <w:r w:rsidRPr="001B6F8F">
        <w:rPr>
          <w:rStyle w:val="af5"/>
        </w:rPr>
        <w:footnoteRef/>
      </w:r>
      <w:r w:rsidRPr="001B6F8F">
        <w:t xml:space="preserve"> </w:t>
      </w:r>
      <w:r w:rsidRPr="001B6F8F">
        <w:t>Указывается в соответствии с Единым государственным реестром недвижимости.</w:t>
      </w:r>
    </w:p>
  </w:footnote>
  <w:footnote w:id="14">
    <w:p w:rsidR="00F81E51" w:rsidRPr="001B6F8F" w:rsidRDefault="00F81E51" w:rsidP="00F81E51">
      <w:pPr>
        <w:pStyle w:val="a9"/>
        <w:jc w:val="both"/>
      </w:pPr>
      <w:r w:rsidRPr="001B6F8F">
        <w:rPr>
          <w:rStyle w:val="af5"/>
        </w:rPr>
        <w:footnoteRef/>
      </w:r>
      <w:r w:rsidRPr="001B6F8F">
        <w:t xml:space="preserve"> </w:t>
      </w:r>
      <w:r w:rsidRPr="001B6F8F">
        <w:t>Указывается в соответствии с Единым государственным реестром недвижимости.</w:t>
      </w:r>
    </w:p>
  </w:footnote>
  <w:footnote w:id="15">
    <w:p w:rsidR="00F81E51" w:rsidRPr="001B6F8F" w:rsidRDefault="00F81E51" w:rsidP="00F81E51">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6">
    <w:p w:rsidR="00F81E51" w:rsidRPr="001B6F8F" w:rsidRDefault="00F81E51" w:rsidP="00F81E51">
      <w:pPr>
        <w:pStyle w:val="a9"/>
        <w:jc w:val="both"/>
      </w:pPr>
      <w:r w:rsidRPr="001B6F8F">
        <w:rPr>
          <w:rStyle w:val="af5"/>
        </w:rPr>
        <w:footnoteRef/>
      </w:r>
      <w:r w:rsidRPr="001B6F8F">
        <w:t xml:space="preserve"> </w:t>
      </w:r>
      <w:r w:rsidRPr="001B6F8F">
        <w:t>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7">
    <w:p w:rsidR="00F81E51" w:rsidRPr="001B6F8F" w:rsidRDefault="00F81E51" w:rsidP="00F81E51">
      <w:pPr>
        <w:pStyle w:val="a9"/>
        <w:jc w:val="both"/>
      </w:pPr>
      <w:r w:rsidRPr="001B6F8F">
        <w:rPr>
          <w:rStyle w:val="af5"/>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18">
    <w:p w:rsidR="00F81E51" w:rsidRPr="001B6F8F" w:rsidRDefault="00F81E51" w:rsidP="00F81E51">
      <w:pPr>
        <w:pStyle w:val="a9"/>
        <w:jc w:val="both"/>
      </w:pPr>
      <w:r w:rsidRPr="001B6F8F">
        <w:rPr>
          <w:rStyle w:val="af5"/>
        </w:rPr>
        <w:footnoteRef/>
      </w:r>
      <w:r w:rsidRPr="001B6F8F">
        <w:t xml:space="preserve"> </w:t>
      </w:r>
      <w:r w:rsidRPr="001B6F8F">
        <w:t>Подробно (с соответствующими реквизитами) указать перечень передаваемых документов, принадлежностей.</w:t>
      </w:r>
    </w:p>
  </w:footnote>
  <w:footnote w:id="19">
    <w:p w:rsidR="00F81E51" w:rsidRPr="001B6F8F" w:rsidRDefault="00F81E51" w:rsidP="00F81E51">
      <w:pPr>
        <w:pStyle w:val="a9"/>
        <w:jc w:val="both"/>
      </w:pPr>
      <w:r w:rsidRPr="001B6F8F">
        <w:rPr>
          <w:rStyle w:val="af5"/>
        </w:rPr>
        <w:footnoteRef/>
      </w:r>
      <w:r w:rsidRPr="001B6F8F">
        <w:t xml:space="preserve"> </w:t>
      </w:r>
      <w:r w:rsidRPr="001B6F8F">
        <w:t>Указывается каждый индивидуальный прибор учета отдельно.</w:t>
      </w:r>
    </w:p>
  </w:footnote>
  <w:footnote w:id="20">
    <w:p w:rsidR="00F81E51" w:rsidRPr="001B6F8F" w:rsidRDefault="00F81E51" w:rsidP="00F81E51">
      <w:pPr>
        <w:pStyle w:val="a9"/>
        <w:jc w:val="both"/>
      </w:pPr>
      <w:r w:rsidRPr="001B6F8F">
        <w:rPr>
          <w:rStyle w:val="af5"/>
        </w:rPr>
        <w:footnoteRef/>
      </w:r>
      <w:r w:rsidRPr="001B6F8F">
        <w:t xml:space="preserve"> </w:t>
      </w:r>
      <w:r w:rsidRPr="001B6F8F">
        <w:t xml:space="preserve">Если у двери </w:t>
      </w:r>
      <w:r>
        <w:t>Объекта</w:t>
      </w:r>
      <w:r w:rsidRPr="001B6F8F">
        <w:t xml:space="preserve"> несколько замков, то указывается по каждому замку.</w:t>
      </w:r>
    </w:p>
  </w:footnote>
  <w:footnote w:id="21">
    <w:p w:rsidR="00F81E51" w:rsidRPr="001B6F8F" w:rsidRDefault="00F81E51" w:rsidP="00F81E51">
      <w:pPr>
        <w:pStyle w:val="a9"/>
        <w:jc w:val="both"/>
      </w:pPr>
      <w:r w:rsidRPr="001B6F8F">
        <w:rPr>
          <w:rStyle w:val="af5"/>
        </w:rPr>
        <w:footnoteRef/>
      </w:r>
      <w:r w:rsidRPr="001B6F8F">
        <w:t xml:space="preserve"> </w:t>
      </w:r>
      <w:r w:rsidRPr="001B6F8F">
        <w:t xml:space="preserve">Если у </w:t>
      </w:r>
      <w:r>
        <w:t>Объекта</w:t>
      </w:r>
      <w:r w:rsidRPr="001B6F8F">
        <w:t xml:space="preserve"> несколько дверей, то указывается по каждой двери.</w:t>
      </w:r>
    </w:p>
  </w:footnote>
  <w:footnote w:id="22">
    <w:p w:rsidR="00F81E51" w:rsidRPr="001B6F8F" w:rsidRDefault="00F81E51" w:rsidP="00F81E51">
      <w:pPr>
        <w:pStyle w:val="a9"/>
        <w:jc w:val="both"/>
      </w:pPr>
      <w:r w:rsidRPr="001B6F8F">
        <w:rPr>
          <w:rStyle w:val="af5"/>
        </w:rPr>
        <w:footnoteRef/>
      </w:r>
      <w:r w:rsidRPr="001B6F8F">
        <w:t xml:space="preserve"> </w:t>
      </w:r>
      <w:r w:rsidRPr="001B6F8F">
        <w:t>Пункт указывается при необходимости.</w:t>
      </w:r>
    </w:p>
  </w:footnote>
  <w:footnote w:id="23">
    <w:p w:rsidR="00F81E51" w:rsidRPr="001B6F8F" w:rsidRDefault="00F81E51" w:rsidP="00F81E51">
      <w:pPr>
        <w:pStyle w:val="a9"/>
        <w:jc w:val="both"/>
      </w:pPr>
      <w:r w:rsidRPr="001B6F8F">
        <w:rPr>
          <w:rStyle w:val="af5"/>
        </w:rPr>
        <w:footnoteRef/>
      </w:r>
      <w:r w:rsidRPr="001B6F8F">
        <w:t xml:space="preserve"> </w:t>
      </w:r>
      <w:r w:rsidRPr="001B6F8F">
        <w:t>Пункт указывается при необходимости.</w:t>
      </w:r>
    </w:p>
  </w:footnote>
  <w:footnote w:id="24">
    <w:p w:rsidR="00F81E51" w:rsidRPr="00887520" w:rsidRDefault="00F81E51" w:rsidP="00F81E51">
      <w:pPr>
        <w:pStyle w:val="a9"/>
        <w:jc w:val="both"/>
      </w:pPr>
      <w:r w:rsidRPr="00887520">
        <w:rPr>
          <w:rStyle w:val="af5"/>
        </w:rPr>
        <w:footnoteRef/>
      </w:r>
      <w:r w:rsidRPr="00887520">
        <w:t xml:space="preserve"> </w:t>
      </w:r>
      <w:r w:rsidRPr="00887520">
        <w:t>Если применимо.</w:t>
      </w:r>
    </w:p>
  </w:footnote>
  <w:footnote w:id="25">
    <w:p w:rsidR="00F81E51" w:rsidRPr="00887520" w:rsidRDefault="00F81E51" w:rsidP="00F81E51">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26">
    <w:p w:rsidR="00F81E51" w:rsidRPr="00887520" w:rsidRDefault="00F81E51" w:rsidP="00F81E51">
      <w:pPr>
        <w:pStyle w:val="a9"/>
        <w:jc w:val="both"/>
      </w:pPr>
      <w:r w:rsidRPr="00887520">
        <w:rPr>
          <w:rStyle w:val="af5"/>
        </w:rPr>
        <w:footnoteRef/>
      </w:r>
      <w:r w:rsidRPr="00887520">
        <w:t xml:space="preserve"> </w:t>
      </w:r>
      <w:r w:rsidRPr="00887520">
        <w:t xml:space="preserve">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t>комплаенс</w:t>
      </w:r>
      <w:proofErr w:type="spellEnd"/>
      <w:r w:rsidRPr="00887520">
        <w:t xml:space="preserve"> ПАО Сбербанк.</w:t>
      </w:r>
    </w:p>
  </w:footnote>
  <w:footnote w:id="27">
    <w:p w:rsidR="00F81E51" w:rsidRPr="00887520" w:rsidRDefault="00F81E51" w:rsidP="00F81E51">
      <w:pPr>
        <w:pStyle w:val="a9"/>
        <w:jc w:val="both"/>
      </w:pPr>
      <w:r w:rsidRPr="00887520">
        <w:rPr>
          <w:rStyle w:val="af5"/>
        </w:rPr>
        <w:footnoteRef/>
      </w:r>
      <w:r w:rsidRPr="00887520">
        <w:t xml:space="preserve"> </w:t>
      </w:r>
      <w:r w:rsidRPr="00887520">
        <w:t>Номер (при наличии), дата и заголовок (при наличии).</w:t>
      </w:r>
    </w:p>
  </w:footnote>
  <w:footnote w:id="28">
    <w:p w:rsidR="00F81E51" w:rsidRPr="00732A86" w:rsidRDefault="00F81E51" w:rsidP="00F81E51">
      <w:pPr>
        <w:pStyle w:val="a9"/>
        <w:jc w:val="both"/>
      </w:pPr>
      <w:r w:rsidRPr="00732A86">
        <w:rPr>
          <w:rStyle w:val="af5"/>
        </w:rPr>
        <w:footnoteRef/>
      </w:r>
      <w:r w:rsidRPr="00732A86">
        <w:t xml:space="preserve"> </w:t>
      </w:r>
      <w:r w:rsidRPr="00732A86">
        <w:t xml:space="preserve">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lang w:val="en-US"/>
        </w:rPr>
        <w:t>sms</w:t>
      </w:r>
      <w:proofErr w:type="spellEnd"/>
      <w:r w:rsidRPr="00732A86">
        <w:t xml:space="preserve"> и мессенджеров, аудио- и видеозаписи и т.п.</w:t>
      </w:r>
    </w:p>
  </w:footnote>
  <w:footnote w:id="29">
    <w:p w:rsidR="00F81E51" w:rsidRPr="00732A86" w:rsidRDefault="00F81E51" w:rsidP="00F81E51">
      <w:pPr>
        <w:pStyle w:val="a9"/>
        <w:jc w:val="both"/>
      </w:pPr>
      <w:r w:rsidRPr="00732A86">
        <w:rPr>
          <w:rStyle w:val="af5"/>
        </w:rPr>
        <w:footnoteRef/>
      </w:r>
      <w:r w:rsidRPr="00732A86">
        <w:t xml:space="preserve"> </w:t>
      </w:r>
      <w:r w:rsidRPr="00732A86">
        <w:t>По требованию контрагента срок может быть скорректирован в сторону увеличения (максимально до 30 календарных дней).</w:t>
      </w:r>
    </w:p>
  </w:footnote>
  <w:footnote w:id="30">
    <w:p w:rsidR="00F81E51" w:rsidRPr="001B6F8F" w:rsidRDefault="00F81E51" w:rsidP="00F81E51">
      <w:pPr>
        <w:pStyle w:val="a9"/>
        <w:jc w:val="both"/>
      </w:pPr>
      <w:r w:rsidRPr="001B6F8F">
        <w:rPr>
          <w:rStyle w:val="af5"/>
        </w:rPr>
        <w:footnoteRef/>
      </w:r>
      <w:r w:rsidRPr="001B6F8F">
        <w:t xml:space="preserve"> </w:t>
      </w:r>
      <w:r w:rsidRPr="001B6F8F">
        <w:t>Пункт указывается при необходимости.</w:t>
      </w:r>
    </w:p>
  </w:footnote>
  <w:footnote w:id="31">
    <w:p w:rsidR="008D38AF" w:rsidRPr="001B6F8F" w:rsidRDefault="008D38AF" w:rsidP="008D38AF">
      <w:pPr>
        <w:pStyle w:val="a9"/>
        <w:jc w:val="both"/>
      </w:pPr>
      <w:r w:rsidRPr="001B6F8F">
        <w:rPr>
          <w:rStyle w:val="af5"/>
        </w:rPr>
        <w:footnoteRef/>
      </w:r>
      <w:r w:rsidRPr="001B6F8F">
        <w:t xml:space="preserve"> </w:t>
      </w:r>
      <w:r w:rsidRPr="001B6F8F">
        <w:t>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E51" w:rsidRDefault="00F81E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E51" w:rsidRDefault="00F81E5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E51" w:rsidRDefault="00F81E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num>
  <w:num w:numId="3">
    <w:abstractNumId w:val="6"/>
  </w:num>
  <w:num w:numId="4">
    <w:abstractNumId w:val="0"/>
  </w:num>
  <w:num w:numId="5">
    <w:abstractNumId w:val="4"/>
  </w:num>
  <w:num w:numId="6">
    <w:abstractNumId w:val="8"/>
  </w:num>
  <w:num w:numId="7">
    <w:abstractNumId w:val="1"/>
  </w:num>
  <w:num w:numId="8">
    <w:abstractNumId w:val="10"/>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51"/>
    <w:rsid w:val="003577C3"/>
    <w:rsid w:val="007240A8"/>
    <w:rsid w:val="008D38AF"/>
    <w:rsid w:val="00930A8B"/>
    <w:rsid w:val="00B07975"/>
    <w:rsid w:val="00C275FB"/>
    <w:rsid w:val="00C631C3"/>
    <w:rsid w:val="00CF03B1"/>
    <w:rsid w:val="00D17CF4"/>
    <w:rsid w:val="00D95CFA"/>
    <w:rsid w:val="00D97E5B"/>
    <w:rsid w:val="00DE3508"/>
    <w:rsid w:val="00F81E51"/>
    <w:rsid w:val="00F8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FFD3F"/>
  <w15:chartTrackingRefBased/>
  <w15:docId w15:val="{059F3EE0-914C-4052-AD71-CFC6D947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81E51"/>
  </w:style>
  <w:style w:type="paragraph" w:styleId="10">
    <w:name w:val="heading 1"/>
    <w:basedOn w:val="a1"/>
    <w:next w:val="a1"/>
    <w:link w:val="11"/>
    <w:uiPriority w:val="9"/>
    <w:qFormat/>
    <w:rsid w:val="00F81E51"/>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F81E51"/>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F81E51"/>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F81E51"/>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F81E51"/>
  </w:style>
  <w:style w:type="paragraph" w:styleId="a7">
    <w:name w:val="footer"/>
    <w:basedOn w:val="a1"/>
    <w:link w:val="a8"/>
    <w:uiPriority w:val="99"/>
    <w:unhideWhenUsed/>
    <w:rsid w:val="00F81E51"/>
    <w:pPr>
      <w:tabs>
        <w:tab w:val="center" w:pos="4677"/>
        <w:tab w:val="right" w:pos="9355"/>
      </w:tabs>
      <w:spacing w:after="0" w:line="240" w:lineRule="auto"/>
    </w:pPr>
  </w:style>
  <w:style w:type="character" w:customStyle="1" w:styleId="a8">
    <w:name w:val="Нижний колонтитул Знак"/>
    <w:basedOn w:val="a2"/>
    <w:link w:val="a7"/>
    <w:uiPriority w:val="99"/>
    <w:rsid w:val="00F81E51"/>
  </w:style>
  <w:style w:type="character" w:customStyle="1" w:styleId="11">
    <w:name w:val="Заголовок 1 Знак"/>
    <w:basedOn w:val="a2"/>
    <w:link w:val="10"/>
    <w:uiPriority w:val="9"/>
    <w:rsid w:val="00F81E51"/>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F81E51"/>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F81E51"/>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F81E51"/>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F81E51"/>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F81E51"/>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F81E51"/>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F81E51"/>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F81E51"/>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F81E51"/>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F81E51"/>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F81E51"/>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F81E51"/>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F81E51"/>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F81E51"/>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F81E51"/>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F81E51"/>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F81E51"/>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F81E51"/>
    <w:rPr>
      <w:rFonts w:ascii="Times New Roman" w:hAnsi="Times New Roman" w:cs="Times New Roman" w:hint="default"/>
      <w:vertAlign w:val="superscript"/>
    </w:rPr>
  </w:style>
  <w:style w:type="character" w:customStyle="1" w:styleId="FontStyle36">
    <w:name w:val="Font Style36"/>
    <w:uiPriority w:val="99"/>
    <w:rsid w:val="00F81E51"/>
    <w:rPr>
      <w:rFonts w:ascii="Times New Roman" w:hAnsi="Times New Roman" w:cs="Times New Roman" w:hint="default"/>
      <w:sz w:val="20"/>
      <w:szCs w:val="20"/>
    </w:rPr>
  </w:style>
  <w:style w:type="paragraph" w:styleId="af6">
    <w:name w:val="Balloon Text"/>
    <w:basedOn w:val="a1"/>
    <w:link w:val="af7"/>
    <w:uiPriority w:val="99"/>
    <w:semiHidden/>
    <w:unhideWhenUsed/>
    <w:rsid w:val="00F81E51"/>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F81E51"/>
    <w:rPr>
      <w:rFonts w:ascii="Tahoma" w:eastAsia="Times New Roman" w:hAnsi="Tahoma" w:cs="Tahoma"/>
      <w:sz w:val="16"/>
      <w:szCs w:val="16"/>
      <w:lang w:eastAsia="ru-RU"/>
    </w:rPr>
  </w:style>
  <w:style w:type="paragraph" w:styleId="af8">
    <w:name w:val="endnote text"/>
    <w:basedOn w:val="a1"/>
    <w:link w:val="af9"/>
    <w:uiPriority w:val="99"/>
    <w:semiHidden/>
    <w:unhideWhenUsed/>
    <w:rsid w:val="00F81E51"/>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F81E51"/>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F81E51"/>
    <w:rPr>
      <w:vertAlign w:val="superscript"/>
    </w:rPr>
  </w:style>
  <w:style w:type="paragraph" w:styleId="20">
    <w:name w:val="Body Text Indent 2"/>
    <w:basedOn w:val="a1"/>
    <w:link w:val="21"/>
    <w:uiPriority w:val="99"/>
    <w:semiHidden/>
    <w:unhideWhenUsed/>
    <w:rsid w:val="00F81E51"/>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F81E51"/>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F81E51"/>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F81E51"/>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F81E51"/>
    <w:rPr>
      <w:sz w:val="16"/>
      <w:szCs w:val="16"/>
    </w:rPr>
  </w:style>
  <w:style w:type="paragraph" w:styleId="afc">
    <w:name w:val="annotation subject"/>
    <w:basedOn w:val="ab"/>
    <w:next w:val="ab"/>
    <w:link w:val="afd"/>
    <w:uiPriority w:val="99"/>
    <w:semiHidden/>
    <w:unhideWhenUsed/>
    <w:rsid w:val="00F81E51"/>
    <w:rPr>
      <w:b/>
      <w:bCs/>
      <w:lang w:val="ru-RU" w:eastAsia="ru-RU"/>
    </w:rPr>
  </w:style>
  <w:style w:type="character" w:customStyle="1" w:styleId="afd">
    <w:name w:val="Тема примечания Знак"/>
    <w:basedOn w:val="ac"/>
    <w:link w:val="afc"/>
    <w:uiPriority w:val="99"/>
    <w:semiHidden/>
    <w:rsid w:val="00F81E51"/>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F81E51"/>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F81E51"/>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F81E51"/>
    <w:rPr>
      <w:vanish w:val="0"/>
      <w:webHidden w:val="0"/>
      <w:specVanish w:val="0"/>
    </w:rPr>
  </w:style>
  <w:style w:type="character" w:styleId="aff">
    <w:name w:val="Hyperlink"/>
    <w:uiPriority w:val="99"/>
    <w:unhideWhenUsed/>
    <w:rsid w:val="00F81E51"/>
    <w:rPr>
      <w:color w:val="0000FF"/>
      <w:u w:val="single"/>
    </w:rPr>
  </w:style>
  <w:style w:type="paragraph" w:styleId="HTML">
    <w:name w:val="HTML Preformatted"/>
    <w:basedOn w:val="a1"/>
    <w:link w:val="HTML0"/>
    <w:uiPriority w:val="99"/>
    <w:unhideWhenUsed/>
    <w:rsid w:val="00F8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F81E51"/>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F81E51"/>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F81E51"/>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F81E51"/>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F81E51"/>
    <w:rPr>
      <w:rFonts w:ascii="Times New Roman" w:eastAsia="Times New Roman" w:hAnsi="Times New Roman" w:cs="Times New Roman"/>
      <w:sz w:val="20"/>
      <w:szCs w:val="20"/>
      <w:lang w:eastAsia="ru-RU"/>
    </w:rPr>
  </w:style>
  <w:style w:type="character" w:customStyle="1" w:styleId="FontStyle16">
    <w:name w:val="Font Style16"/>
    <w:rsid w:val="00F81E51"/>
    <w:rPr>
      <w:rFonts w:ascii="Times New Roman" w:hAnsi="Times New Roman" w:cs="Times New Roman" w:hint="default"/>
    </w:rPr>
  </w:style>
  <w:style w:type="paragraph" w:customStyle="1" w:styleId="aff0">
    <w:name w:val="Îáû÷íûé"/>
    <w:basedOn w:val="a1"/>
    <w:rsid w:val="00F81E51"/>
    <w:pPr>
      <w:spacing w:after="0" w:line="240" w:lineRule="auto"/>
      <w:jc w:val="both"/>
    </w:pPr>
    <w:rPr>
      <w:rFonts w:ascii="Arial" w:hAnsi="Arial" w:cs="Arial"/>
      <w:sz w:val="24"/>
      <w:szCs w:val="24"/>
    </w:rPr>
  </w:style>
  <w:style w:type="table" w:styleId="aff1">
    <w:name w:val="Table Grid"/>
    <w:basedOn w:val="a3"/>
    <w:uiPriority w:val="59"/>
    <w:rsid w:val="00F81E5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F81E51"/>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F81E51"/>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F81E51"/>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F81E51"/>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F81E51"/>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F81E51"/>
    <w:pPr>
      <w:spacing w:after="200" w:line="276" w:lineRule="auto"/>
      <w:ind w:left="283" w:hanging="283"/>
      <w:contextualSpacing/>
    </w:pPr>
  </w:style>
  <w:style w:type="table" w:customStyle="1" w:styleId="18">
    <w:name w:val="Сетка таблицы1"/>
    <w:basedOn w:val="a3"/>
    <w:next w:val="aff1"/>
    <w:uiPriority w:val="59"/>
    <w:rsid w:val="00F81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F81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F81E51"/>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F81E51"/>
    <w:pPr>
      <w:ind w:left="283" w:hanging="283"/>
      <w:contextualSpacing/>
    </w:pPr>
  </w:style>
  <w:style w:type="character" w:styleId="aff4">
    <w:name w:val="Subtle Emphasis"/>
    <w:basedOn w:val="a2"/>
    <w:uiPriority w:val="19"/>
    <w:qFormat/>
    <w:rsid w:val="00F81E5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93107B9FFB5E40E9F7BBA8787A1E2B3A.dms.sberbank.ru/93107B9FFB5E40E9F7BBA8787A1E2B3A-3129F7730A7373D88CA208010E86393B-7234771BCE20FA9A975372C9310F19FA/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5721</Words>
  <Characters>32614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Татьяна Юрьевна</dc:creator>
  <cp:keywords/>
  <dc:description/>
  <cp:lastModifiedBy>Чумаков Максим Сергеевич</cp:lastModifiedBy>
  <cp:revision>2</cp:revision>
  <dcterms:created xsi:type="dcterms:W3CDTF">2023-07-28T06:18:00Z</dcterms:created>
  <dcterms:modified xsi:type="dcterms:W3CDTF">2023-07-28T06:18:00Z</dcterms:modified>
</cp:coreProperties>
</file>