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750B" w14:textId="10BCB3F2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54C77">
        <w:rPr>
          <w:b/>
          <w:bCs/>
        </w:rPr>
        <w:t>АО «</w:t>
      </w:r>
      <w:proofErr w:type="spellStart"/>
      <w:r w:rsidR="00554C77" w:rsidRPr="000338C8">
        <w:rPr>
          <w:b/>
          <w:bCs/>
        </w:rPr>
        <w:t>Промгражданстрой</w:t>
      </w:r>
      <w:proofErr w:type="spellEnd"/>
      <w:r w:rsidR="00554C77">
        <w:rPr>
          <w:b/>
          <w:bCs/>
        </w:rPr>
        <w:t>» (далее – Должник)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18315029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43859">
        <w:rPr>
          <w:rFonts w:eastAsia="Times New Roman"/>
          <w:b/>
          <w:bCs/>
          <w:color w:val="0070C0"/>
        </w:rPr>
        <w:t xml:space="preserve">14 </w:t>
      </w:r>
      <w:r w:rsidR="007C5683">
        <w:rPr>
          <w:rFonts w:eastAsia="Times New Roman"/>
          <w:b/>
          <w:bCs/>
          <w:color w:val="0070C0"/>
        </w:rPr>
        <w:t xml:space="preserve">сентября </w:t>
      </w:r>
      <w:r w:rsidRPr="00BB6EE7">
        <w:rPr>
          <w:rFonts w:eastAsia="Times New Roman"/>
          <w:b/>
          <w:bCs/>
          <w:color w:val="0070C0"/>
        </w:rPr>
        <w:t>202</w:t>
      </w:r>
      <w:r w:rsidR="00B32B7C">
        <w:rPr>
          <w:rFonts w:eastAsia="Times New Roman"/>
          <w:b/>
          <w:bCs/>
          <w:color w:val="0070C0"/>
        </w:rPr>
        <w:t>3</w:t>
      </w:r>
      <w:r w:rsidRPr="00BB6EE7">
        <w:rPr>
          <w:rFonts w:eastAsia="Times New Roman"/>
          <w:b/>
          <w:bCs/>
          <w:color w:val="0070C0"/>
        </w:rPr>
        <w:t xml:space="preserve"> года в 0</w:t>
      </w:r>
      <w:r w:rsidR="00824697">
        <w:rPr>
          <w:rFonts w:eastAsia="Times New Roman"/>
          <w:b/>
          <w:bCs/>
          <w:color w:val="0070C0"/>
        </w:rPr>
        <w:t>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4502C6F5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743859">
        <w:rPr>
          <w:b/>
          <w:bCs/>
          <w:color w:val="0070C0"/>
        </w:rPr>
        <w:t>0</w:t>
      </w:r>
      <w:r w:rsidR="007C5683">
        <w:rPr>
          <w:b/>
          <w:bCs/>
          <w:color w:val="0070C0"/>
        </w:rPr>
        <w:t>7 августа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54C77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r w:rsidR="00743859">
        <w:rPr>
          <w:b/>
          <w:bCs/>
          <w:color w:val="0070C0"/>
        </w:rPr>
        <w:t xml:space="preserve">11 </w:t>
      </w:r>
      <w:r w:rsidR="007C5683">
        <w:rPr>
          <w:b/>
          <w:bCs/>
          <w:color w:val="0070C0"/>
        </w:rPr>
        <w:t>сентября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до 0</w:t>
      </w:r>
      <w:r w:rsidR="00554C77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7F7B76B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</w:t>
      </w:r>
      <w:r w:rsidR="007C5683">
        <w:rPr>
          <w:b/>
          <w:bCs/>
        </w:rPr>
        <w:t xml:space="preserve"> </w:t>
      </w:r>
      <w:r w:rsidR="00824697">
        <w:rPr>
          <w:b/>
          <w:bCs/>
        </w:rPr>
        <w:t>Оператор)</w:t>
      </w:r>
      <w:r w:rsidRPr="00A40D10">
        <w:rPr>
          <w:b/>
          <w:bCs/>
        </w:rPr>
        <w:t xml:space="preserve"> не позднее </w:t>
      </w:r>
      <w:r w:rsidRPr="00D235CB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9</w:t>
      </w:r>
      <w:r w:rsidRPr="00D235CB">
        <w:rPr>
          <w:b/>
          <w:bCs/>
          <w:color w:val="0070C0"/>
        </w:rPr>
        <w:t xml:space="preserve">.00 </w:t>
      </w:r>
      <w:r w:rsidRPr="00A40D10">
        <w:rPr>
          <w:b/>
          <w:bCs/>
        </w:rPr>
        <w:t xml:space="preserve">(МСК) </w:t>
      </w:r>
      <w:r w:rsidR="00743859">
        <w:rPr>
          <w:b/>
          <w:bCs/>
          <w:color w:val="0070C0"/>
        </w:rPr>
        <w:t xml:space="preserve">11 </w:t>
      </w:r>
      <w:r w:rsidR="007C5683">
        <w:rPr>
          <w:b/>
          <w:bCs/>
          <w:color w:val="0070C0"/>
        </w:rPr>
        <w:t>сентября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 xml:space="preserve">3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4C3039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743859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743859">
        <w:rPr>
          <w:b/>
          <w:bCs/>
          <w:color w:val="0070C0"/>
        </w:rPr>
        <w:t>1</w:t>
      </w:r>
      <w:r w:rsidR="007C5683">
        <w:rPr>
          <w:b/>
          <w:bCs/>
          <w:color w:val="0070C0"/>
        </w:rPr>
        <w:t>2 сентября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5081A195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516, 8</w:t>
      </w:r>
      <w:r w:rsidR="00EC1C9A"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6" w:history="1">
        <w:r w:rsidR="007635A6" w:rsidRPr="008D1B0F">
          <w:rPr>
            <w:rStyle w:val="afb"/>
            <w:lang w:val="en-US"/>
          </w:rPr>
          <w:t>dv</w:t>
        </w:r>
        <w:r w:rsidR="007635A6" w:rsidRPr="008D1B0F">
          <w:rPr>
            <w:rStyle w:val="afb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Контактное</w:t>
      </w:r>
      <w:r w:rsidR="00484D9E">
        <w:t xml:space="preserve"> лицо по осмотру </w:t>
      </w:r>
      <w:r w:rsidR="00554C77">
        <w:t>Руслан,</w:t>
      </w:r>
      <w:r w:rsidR="00F93420">
        <w:t xml:space="preserve"> тел. 8</w:t>
      </w:r>
      <w:r w:rsidR="00554C77">
        <w:t xml:space="preserve"> (</w:t>
      </w:r>
      <w:r w:rsidR="00F93420">
        <w:t>90</w:t>
      </w:r>
      <w:r w:rsidR="00554C77">
        <w:t>8) 593-20-61</w:t>
      </w:r>
      <w:r w:rsidR="00484D9E">
        <w:t>.</w:t>
      </w:r>
    </w:p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34A07E7" w14:textId="77777777" w:rsidR="00554C77" w:rsidRDefault="000338C8" w:rsidP="00554C77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 w:rsidR="00554C77">
        <w:rPr>
          <w:rFonts w:eastAsia="Times New Roman"/>
        </w:rPr>
        <w:t>Имущество находится в залоге у ПАО «</w:t>
      </w:r>
      <w:proofErr w:type="spellStart"/>
      <w:r w:rsidR="00554C77">
        <w:rPr>
          <w:rFonts w:eastAsia="Times New Roman"/>
        </w:rPr>
        <w:t>БайкалБанк</w:t>
      </w:r>
      <w:proofErr w:type="spellEnd"/>
      <w:r w:rsidR="00554C77">
        <w:rPr>
          <w:rFonts w:eastAsia="Times New Roman"/>
        </w:rPr>
        <w:t xml:space="preserve">». </w:t>
      </w:r>
      <w:r w:rsidR="00554C77" w:rsidRPr="00BB6EE7">
        <w:rPr>
          <w:rFonts w:eastAsia="Times New Roman"/>
        </w:rPr>
        <w:t xml:space="preserve">Реализация имущества производится конкурсным управляющим </w:t>
      </w:r>
      <w:r w:rsidR="00554C77" w:rsidRPr="000338C8">
        <w:rPr>
          <w:rFonts w:eastAsia="Times New Roman"/>
        </w:rPr>
        <w:t>Лысенко Нин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 xml:space="preserve"> Дмитриевн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>, номер в Сводном государственном реестре арбитражных управляющих 16623, ИНН 380406855165, СНИЛС 131-933-713 46, адрес для направления корреспонденции: 665719, Иркутская обл., г. Братск, а/я 1020, член Ассоциации ведущих арбитражных управляющих «Достояние»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(ИНН 7811290230, ОГРН 1117800013000), адрес: 196191, г Санкт-Петербург, пл. Конституции, д. 7, офис 524),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действующ</w:t>
      </w:r>
      <w:r w:rsidR="00554C77">
        <w:rPr>
          <w:rFonts w:eastAsia="Times New Roman"/>
        </w:rPr>
        <w:t>им</w:t>
      </w:r>
      <w:r w:rsidR="00554C77" w:rsidRPr="000338C8">
        <w:rPr>
          <w:rFonts w:eastAsia="Times New Roman"/>
        </w:rPr>
        <w:t xml:space="preserve"> на основании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Решения Арбитражного суда республики Бурятия от 18.03.2020 года по делу №А10-8040/2018</w:t>
      </w:r>
      <w:r w:rsidR="00554C77">
        <w:rPr>
          <w:rFonts w:eastAsia="Times New Roman"/>
        </w:rPr>
        <w:t>.</w:t>
      </w:r>
    </w:p>
    <w:p w14:paraId="53996383" w14:textId="3A1DEBFB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854DC7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B237CA8" w14:textId="77777777" w:rsidR="00743859" w:rsidRDefault="00743859" w:rsidP="00743859">
      <w:pPr>
        <w:ind w:firstLine="709"/>
        <w:jc w:val="both"/>
      </w:pPr>
      <w:bookmarkStart w:id="0" w:name="_Hlk119498256"/>
      <w:r w:rsidRPr="00EE3B7F">
        <w:rPr>
          <w:b/>
          <w:bCs/>
        </w:rPr>
        <w:t>Земельный участок</w:t>
      </w:r>
      <w:r>
        <w:t>, кадастровый номер: 03:24:032701:2506, площадь: 4544 кв.м., к</w:t>
      </w:r>
      <w:r w:rsidRPr="00E71024">
        <w:t xml:space="preserve">атегория земель: земли населенных пунктов, </w:t>
      </w:r>
      <w:r>
        <w:t>виды разрешенного использования: объекты гаражного назначения</w:t>
      </w:r>
      <w:r w:rsidRPr="00E71024">
        <w:t>, адрес (местоположение)</w:t>
      </w:r>
      <w:r>
        <w:t xml:space="preserve">: местоположение установлено относительно ориентира, расположенного в границах участка, Почтовый адрес ориентира: </w:t>
      </w:r>
      <w:r w:rsidRPr="00743859">
        <w:rPr>
          <w:b/>
          <w:bCs/>
        </w:rPr>
        <w:t>Республика Бурятия, г Улан-Удэ, ул. Лебедева, д. 10.</w:t>
      </w:r>
    </w:p>
    <w:p w14:paraId="0B7213FF" w14:textId="77777777" w:rsidR="00743859" w:rsidRDefault="00743859" w:rsidP="00743859">
      <w:pPr>
        <w:tabs>
          <w:tab w:val="left" w:pos="1134"/>
        </w:tabs>
        <w:ind w:firstLine="709"/>
        <w:jc w:val="both"/>
      </w:pPr>
      <w:r>
        <w:t>Земельный участок п</w:t>
      </w:r>
      <w:r w:rsidRPr="00EB705C">
        <w:t>ринадлежит Должнику на праве собственности, что подтверждается записью о регистрации в Едином государственном реестре недвижимости № 03-03</w:t>
      </w:r>
      <w:r>
        <w:t>/0</w:t>
      </w:r>
      <w:r w:rsidRPr="00EB705C">
        <w:t>01</w:t>
      </w:r>
      <w:r>
        <w:t>-03/001/009/2015-667/1.</w:t>
      </w:r>
    </w:p>
    <w:p w14:paraId="5BFA5D48" w14:textId="3CC30BCD" w:rsidR="00554C77" w:rsidRDefault="00743859" w:rsidP="00743859">
      <w:pPr>
        <w:ind w:firstLine="709"/>
        <w:jc w:val="both"/>
      </w:pPr>
      <w:r w:rsidRPr="00EE3B7F">
        <w:rPr>
          <w:b/>
          <w:bCs/>
        </w:rPr>
        <w:t>Неотделимые улучшения: незавершенная строительством подземная автостоянка</w:t>
      </w:r>
      <w:r>
        <w:t>, площадь: 2206,3 кв. м, строительный объем: 7540 куб. м, материал стен: монолитный железобетон, этаж: подземный, начало строительства: 2014 год, степень готовности: 72 %.</w:t>
      </w:r>
    </w:p>
    <w:p w14:paraId="1DA6CA02" w14:textId="77777777" w:rsidR="00DF1A3A" w:rsidRDefault="00DF1A3A" w:rsidP="00743859">
      <w:pPr>
        <w:ind w:firstLine="709"/>
        <w:jc w:val="both"/>
      </w:pPr>
    </w:p>
    <w:p w14:paraId="7A8AD16D" w14:textId="24084BCB" w:rsidR="00DF1A3A" w:rsidRPr="00DF1A3A" w:rsidRDefault="00DF1A3A" w:rsidP="00DF1A3A">
      <w:pPr>
        <w:ind w:firstLine="709"/>
        <w:jc w:val="both"/>
        <w:rPr>
          <w:b/>
          <w:bCs/>
        </w:rPr>
      </w:pPr>
      <w:r w:rsidRPr="00DF1A3A">
        <w:rPr>
          <w:b/>
          <w:bCs/>
        </w:rPr>
        <w:t>Ограничение прав и обременение объекта недвижимости:</w:t>
      </w:r>
    </w:p>
    <w:p w14:paraId="6839D433" w14:textId="7DC49B68" w:rsidR="00DF1A3A" w:rsidRDefault="00DF1A3A" w:rsidP="00DF1A3A">
      <w:pPr>
        <w:ind w:firstLine="709"/>
        <w:jc w:val="both"/>
      </w:pPr>
      <w:r>
        <w:t xml:space="preserve">  - Ипотека в силу закона № 03-03/001-03/001/009/2015-3935/2 от 01.10.2015, срок действия с 01.10.2015 по 31.12.2016, лицо, в пользу которого установлено ограничение прав и обременение </w:t>
      </w:r>
      <w:r>
        <w:lastRenderedPageBreak/>
        <w:t>объекта недвижимости: УЧАСТНИКИ ДОЛЕВОГО СТРОИТЕЛЬСТВА ПО ДОГОВОРАМ УЧАСТИЯ В ДОЛЕВОМ СТРОИТЕЛЬСТВЕ;</w:t>
      </w:r>
    </w:p>
    <w:p w14:paraId="0D8E97CD" w14:textId="77777777" w:rsidR="00DF1A3A" w:rsidRDefault="00DF1A3A" w:rsidP="00DF1A3A">
      <w:pPr>
        <w:ind w:firstLine="709"/>
        <w:jc w:val="both"/>
      </w:pPr>
      <w:r>
        <w:t>- Арест № 03:24:032701:2506-03/048/2021-18 от 01.11.2021;</w:t>
      </w:r>
    </w:p>
    <w:p w14:paraId="0195EC05" w14:textId="32623CD6" w:rsidR="00DF1A3A" w:rsidRDefault="00DF1A3A" w:rsidP="00DF1A3A">
      <w:pPr>
        <w:ind w:firstLine="709"/>
        <w:jc w:val="both"/>
      </w:pPr>
      <w:r>
        <w:t>- Ипотека № 03-03/001-03/016/034/2015-2050/1 от 15.10.2015, срок действия с 15.10.2015 по 30.06.2017, лицо, в пользу которого установлено ограничение прав и обременение объекта недвижимости: ОТКРЫТОЕ АКЦИОНЕРНОЕ ОБЩЕСТВО АКЦИОНЕРНЫЙ КОММЕРЧЕСКИЙ 'БАЙКАЛБАНК', ИНН: 0323045986;</w:t>
      </w:r>
    </w:p>
    <w:p w14:paraId="5A9C3E94" w14:textId="77777777" w:rsidR="00743859" w:rsidRDefault="00743859" w:rsidP="00743859">
      <w:pPr>
        <w:ind w:firstLine="709"/>
        <w:jc w:val="both"/>
      </w:pPr>
    </w:p>
    <w:bookmarkEnd w:id="0"/>
    <w:p w14:paraId="113BEA64" w14:textId="49771F40" w:rsidR="00BC1817" w:rsidRDefault="00BC1817" w:rsidP="00BC1817">
      <w:pPr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7C5683">
        <w:rPr>
          <w:b/>
          <w:bCs/>
          <w:color w:val="0070C0"/>
        </w:rPr>
        <w:t>27 090</w:t>
      </w:r>
      <w:r w:rsidR="00743859">
        <w:rPr>
          <w:b/>
          <w:bCs/>
          <w:color w:val="0070C0"/>
        </w:rPr>
        <w:t xml:space="preserve">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7C5683">
        <w:rPr>
          <w:color w:val="000000"/>
        </w:rPr>
        <w:t>Двадцать семь миллионов девяносто</w:t>
      </w:r>
      <w:r w:rsidR="00743859">
        <w:rPr>
          <w:color w:val="000000"/>
        </w:rPr>
        <w:t xml:space="preserve"> тысяч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36D91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 w:rsidRPr="00013653">
        <w:rPr>
          <w:b/>
          <w:bCs/>
          <w:color w:val="0070C0"/>
        </w:rPr>
        <w:t xml:space="preserve"> коп.</w:t>
      </w:r>
      <w:r w:rsidRPr="00BB6EE7">
        <w:rPr>
          <w:b/>
          <w:bCs/>
        </w:rPr>
        <w:t xml:space="preserve">, </w:t>
      </w:r>
      <w:r w:rsidRPr="00BB6EE7">
        <w:rPr>
          <w:bCs/>
        </w:rPr>
        <w:t>НДС</w:t>
      </w:r>
      <w:r w:rsidRPr="00BB6EE7">
        <w:rPr>
          <w:b/>
          <w:bCs/>
        </w:rPr>
        <w:t xml:space="preserve"> </w:t>
      </w:r>
      <w:r w:rsidRPr="00BB6EE7">
        <w:t xml:space="preserve">не </w:t>
      </w:r>
      <w:r>
        <w:t>облагается</w:t>
      </w:r>
    </w:p>
    <w:p w14:paraId="6B7C6C6F" w14:textId="1DA9D8DA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7C5683">
        <w:rPr>
          <w:b/>
          <w:bCs/>
          <w:color w:val="0070C0"/>
        </w:rPr>
        <w:t>2 709</w:t>
      </w:r>
      <w:r w:rsidR="00743859">
        <w:rPr>
          <w:b/>
          <w:bCs/>
          <w:color w:val="0070C0"/>
        </w:rPr>
        <w:t xml:space="preserve"> 000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7C5683">
        <w:rPr>
          <w:lang w:eastAsia="en-US"/>
        </w:rPr>
        <w:t>Два</w:t>
      </w:r>
      <w:r w:rsidR="002A3ACE">
        <w:rPr>
          <w:lang w:eastAsia="en-US"/>
        </w:rPr>
        <w:t xml:space="preserve"> миллиона </w:t>
      </w:r>
      <w:r w:rsidR="007C5683">
        <w:rPr>
          <w:lang w:eastAsia="en-US"/>
        </w:rPr>
        <w:t xml:space="preserve">семьсот девять </w:t>
      </w:r>
      <w:r w:rsidR="002A3ACE">
        <w:rPr>
          <w:lang w:eastAsia="en-US"/>
        </w:rPr>
        <w:t>тысяч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>руб. 00 коп.</w:t>
      </w:r>
      <w:r w:rsidRPr="00EE4E19">
        <w:rPr>
          <w:b/>
          <w:bCs/>
          <w:lang w:eastAsia="en-US"/>
        </w:rPr>
        <w:t>;</w:t>
      </w:r>
    </w:p>
    <w:p w14:paraId="1F58D730" w14:textId="5395A975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</w:t>
      </w:r>
      <w:r>
        <w:rPr>
          <w:b/>
          <w:bCs/>
          <w:lang w:eastAsia="en-US"/>
        </w:rPr>
        <w:t xml:space="preserve">вышение: </w:t>
      </w:r>
      <w:r w:rsidR="00743859">
        <w:rPr>
          <w:b/>
          <w:bCs/>
          <w:color w:val="0070C0"/>
          <w:lang w:eastAsia="en-US"/>
        </w:rPr>
        <w:t>1 </w:t>
      </w:r>
      <w:r w:rsidR="007C5683">
        <w:rPr>
          <w:b/>
          <w:bCs/>
          <w:color w:val="0070C0"/>
          <w:lang w:eastAsia="en-US"/>
        </w:rPr>
        <w:t>354</w:t>
      </w:r>
      <w:r w:rsidR="00743859">
        <w:rPr>
          <w:b/>
          <w:bCs/>
          <w:color w:val="0070C0"/>
          <w:lang w:eastAsia="en-US"/>
        </w:rPr>
        <w:t xml:space="preserve"> </w:t>
      </w:r>
      <w:r w:rsidR="007C5683">
        <w:rPr>
          <w:b/>
          <w:bCs/>
          <w:color w:val="0070C0"/>
          <w:lang w:eastAsia="en-US"/>
        </w:rPr>
        <w:t>5</w:t>
      </w:r>
      <w:r w:rsidR="00743859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743859">
        <w:rPr>
          <w:lang w:eastAsia="en-US"/>
        </w:rPr>
        <w:t xml:space="preserve">Один </w:t>
      </w:r>
      <w:r w:rsidR="002A3ACE">
        <w:rPr>
          <w:lang w:eastAsia="en-US"/>
        </w:rPr>
        <w:t>миллион</w:t>
      </w:r>
      <w:r w:rsidR="007C5683">
        <w:rPr>
          <w:lang w:eastAsia="en-US"/>
        </w:rPr>
        <w:t xml:space="preserve"> триста пятьдесят четыре </w:t>
      </w:r>
      <w:r w:rsidR="00743859">
        <w:rPr>
          <w:lang w:eastAsia="en-US"/>
        </w:rPr>
        <w:t>тысяч</w:t>
      </w:r>
      <w:r w:rsidR="007C5683">
        <w:rPr>
          <w:lang w:eastAsia="en-US"/>
        </w:rPr>
        <w:t>и пятьсот</w:t>
      </w:r>
      <w:r w:rsidR="002A3ACE">
        <w:rPr>
          <w:lang w:eastAsia="en-US"/>
        </w:rPr>
        <w:t>)</w:t>
      </w:r>
      <w:r w:rsidR="00FA0F41">
        <w:rPr>
          <w:lang w:eastAsia="en-US"/>
        </w:rPr>
        <w:t xml:space="preserve">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FA0F41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76120A04" w14:textId="77777777" w:rsidR="00272185" w:rsidRDefault="00272185" w:rsidP="00854DC7">
      <w:pPr>
        <w:ind w:firstLine="567"/>
        <w:jc w:val="both"/>
        <w:rPr>
          <w:b/>
          <w:bCs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8BBF9FE" w14:textId="77777777" w:rsidR="00743859" w:rsidRPr="00534145" w:rsidRDefault="00743859" w:rsidP="00743859">
      <w:pPr>
        <w:ind w:firstLine="567"/>
        <w:jc w:val="both"/>
        <w:rPr>
          <w:rFonts w:eastAsia="Times New Roman"/>
          <w:bCs/>
        </w:rPr>
      </w:pPr>
      <w:bookmarkStart w:id="1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1"/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4B225749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743859">
        <w:rPr>
          <w:b/>
          <w:bCs/>
          <w:color w:val="0070C0"/>
        </w:rPr>
        <w:t xml:space="preserve">11 </w:t>
      </w:r>
      <w:r w:rsidR="007C5683">
        <w:rPr>
          <w:b/>
          <w:bCs/>
          <w:color w:val="0070C0"/>
        </w:rPr>
        <w:t>сентября</w:t>
      </w:r>
      <w:r w:rsidRPr="00B32B7C">
        <w:rPr>
          <w:b/>
          <w:bCs/>
          <w:color w:val="0070C0"/>
        </w:rPr>
        <w:t xml:space="preserve"> 2023 г. до 0</w:t>
      </w:r>
      <w:r w:rsidR="002A3ACE">
        <w:rPr>
          <w:b/>
          <w:bCs/>
          <w:color w:val="0070C0"/>
        </w:rPr>
        <w:t>9</w:t>
      </w:r>
      <w:r w:rsidRPr="00B32B7C">
        <w:rPr>
          <w:b/>
          <w:bCs/>
          <w:color w:val="0070C0"/>
        </w:rPr>
        <w:t>.00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29C7FF58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B32B7C" w:rsidRPr="005A210A">
          <w:rPr>
            <w:rStyle w:val="afb"/>
            <w:rFonts w:eastAsia="Times New Roman"/>
          </w:rPr>
          <w:t>https://catalog.lot-online.ru/images/docs/regulations/reglament</w:t>
        </w:r>
        <w:r w:rsidR="00B32B7C" w:rsidRPr="005A210A">
          <w:rPr>
            <w:rStyle w:val="afb"/>
            <w:rFonts w:eastAsia="Times New Roman"/>
          </w:rPr>
          <w:t>_</w:t>
        </w:r>
        <w:r w:rsidR="00B32B7C" w:rsidRPr="005A210A">
          <w:rPr>
            <w:rStyle w:val="afb"/>
            <w:rFonts w:eastAsia="Times New Roman"/>
          </w:rPr>
          <w:t>zadatok_bkr.pdf?_t=1658847783</w:t>
        </w:r>
      </w:hyperlink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2E04DA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8B41EB">
        <w:rPr>
          <w:b/>
          <w:bCs/>
          <w:color w:val="0070C0"/>
          <w:u w:val="single"/>
        </w:rPr>
        <w:t>0</w:t>
      </w:r>
      <w:r w:rsidR="007C5683">
        <w:rPr>
          <w:b/>
          <w:bCs/>
          <w:color w:val="0070C0"/>
          <w:u w:val="single"/>
        </w:rPr>
        <w:t>7 августа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A3ACE">
        <w:rPr>
          <w:b/>
          <w:bCs/>
          <w:color w:val="0070C0"/>
          <w:u w:val="single"/>
        </w:rPr>
        <w:t>3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2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2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74DEE759" w14:textId="208AC959" w:rsidR="00743859" w:rsidRPr="00743859" w:rsidRDefault="00743859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43859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 время приема предложений продлевается на </w:t>
      </w:r>
      <w:r>
        <w:rPr>
          <w:b/>
          <w:bCs/>
        </w:rPr>
        <w:t>3</w:t>
      </w:r>
      <w:r w:rsidRPr="00743859">
        <w:rPr>
          <w:b/>
          <w:bCs/>
        </w:rPr>
        <w:t xml:space="preserve">0 минут c момента представления каждого предложения по цене. Торги завершаются через </w:t>
      </w:r>
      <w:r>
        <w:rPr>
          <w:b/>
          <w:bCs/>
        </w:rPr>
        <w:t>3</w:t>
      </w:r>
      <w:r w:rsidRPr="00743859">
        <w:rPr>
          <w:b/>
          <w:bCs/>
        </w:rPr>
        <w:t>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05DDEB41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27D4378E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4082E112" w14:textId="77777777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136407FA" w14:textId="7801481A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02FDD610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7887E155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8B41EB">
        <w:rPr>
          <w:b/>
          <w:bCs/>
        </w:rPr>
        <w:t>конкурсного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8B41EB">
        <w:rPr>
          <w:b/>
          <w:bCs/>
        </w:rPr>
        <w:t>, и конкурсный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6193FC86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434C89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953E5"/>
    <w:rsid w:val="000E72F6"/>
    <w:rsid w:val="000F1A4D"/>
    <w:rsid w:val="00150F7A"/>
    <w:rsid w:val="00184790"/>
    <w:rsid w:val="001D7A9B"/>
    <w:rsid w:val="0023331B"/>
    <w:rsid w:val="00236D91"/>
    <w:rsid w:val="00257D6D"/>
    <w:rsid w:val="00272185"/>
    <w:rsid w:val="002728A4"/>
    <w:rsid w:val="00282C22"/>
    <w:rsid w:val="002A3ACE"/>
    <w:rsid w:val="002D571C"/>
    <w:rsid w:val="002D5CF6"/>
    <w:rsid w:val="002E73AC"/>
    <w:rsid w:val="003201A7"/>
    <w:rsid w:val="003277A3"/>
    <w:rsid w:val="00350202"/>
    <w:rsid w:val="003517F3"/>
    <w:rsid w:val="003F6016"/>
    <w:rsid w:val="00406DD5"/>
    <w:rsid w:val="00460277"/>
    <w:rsid w:val="00477AE7"/>
    <w:rsid w:val="00484D9E"/>
    <w:rsid w:val="00497905"/>
    <w:rsid w:val="004A4EA1"/>
    <w:rsid w:val="004C459E"/>
    <w:rsid w:val="005122DB"/>
    <w:rsid w:val="00554C77"/>
    <w:rsid w:val="0057167C"/>
    <w:rsid w:val="0057335E"/>
    <w:rsid w:val="00580B6A"/>
    <w:rsid w:val="005C6C8A"/>
    <w:rsid w:val="005D4331"/>
    <w:rsid w:val="006105D6"/>
    <w:rsid w:val="00613CCF"/>
    <w:rsid w:val="00621C9C"/>
    <w:rsid w:val="00622C2D"/>
    <w:rsid w:val="006475A3"/>
    <w:rsid w:val="006C3761"/>
    <w:rsid w:val="00702538"/>
    <w:rsid w:val="007273D2"/>
    <w:rsid w:val="00743859"/>
    <w:rsid w:val="007635A6"/>
    <w:rsid w:val="007827C2"/>
    <w:rsid w:val="007A612A"/>
    <w:rsid w:val="007C5683"/>
    <w:rsid w:val="007E55D8"/>
    <w:rsid w:val="00824697"/>
    <w:rsid w:val="00825153"/>
    <w:rsid w:val="00833D96"/>
    <w:rsid w:val="00845647"/>
    <w:rsid w:val="00846CE7"/>
    <w:rsid w:val="00854DC7"/>
    <w:rsid w:val="008B41EB"/>
    <w:rsid w:val="009225AC"/>
    <w:rsid w:val="00925289"/>
    <w:rsid w:val="00927AB8"/>
    <w:rsid w:val="009E0323"/>
    <w:rsid w:val="00A40D10"/>
    <w:rsid w:val="00A537F4"/>
    <w:rsid w:val="00AA7A77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33929"/>
    <w:rsid w:val="00C74A5D"/>
    <w:rsid w:val="00C764AC"/>
    <w:rsid w:val="00C97B50"/>
    <w:rsid w:val="00D11426"/>
    <w:rsid w:val="00D235CB"/>
    <w:rsid w:val="00D30308"/>
    <w:rsid w:val="00D557B5"/>
    <w:rsid w:val="00D93155"/>
    <w:rsid w:val="00D97E2A"/>
    <w:rsid w:val="00DA71BF"/>
    <w:rsid w:val="00DF1A3A"/>
    <w:rsid w:val="00DF48FA"/>
    <w:rsid w:val="00E36A19"/>
    <w:rsid w:val="00E54FE2"/>
    <w:rsid w:val="00E55B87"/>
    <w:rsid w:val="00E96DEE"/>
    <w:rsid w:val="00EA17BA"/>
    <w:rsid w:val="00EC1C9A"/>
    <w:rsid w:val="00F84880"/>
    <w:rsid w:val="00F93420"/>
    <w:rsid w:val="00FA0F41"/>
    <w:rsid w:val="00FC04F0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2A3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6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48</cp:revision>
  <cp:lastPrinted>2022-11-18T01:39:00Z</cp:lastPrinted>
  <dcterms:created xsi:type="dcterms:W3CDTF">2020-05-19T01:22:00Z</dcterms:created>
  <dcterms:modified xsi:type="dcterms:W3CDTF">2023-08-03T00:41:00Z</dcterms:modified>
</cp:coreProperties>
</file>