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450" w:type="dxa"/>
            <w:gridSpan w:val="10"/>
            <w:shd w:val="clear" w:color="FFFFFF" w:fill="auto"/>
          </w:tcPr>
          <w:p w:rsidR="00FA1FE4" w:rsidRDefault="00BB527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1E2E24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center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Мы, нижеподписавшиеся: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Pr="00BB5276" w:rsidRDefault="00BB5276" w:rsidP="00BB52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276">
              <w:rPr>
                <w:rFonts w:ascii="Times New Roman" w:hAnsi="Times New Roman" w:hint="eastAsia"/>
                <w:sz w:val="20"/>
                <w:szCs w:val="20"/>
              </w:rPr>
              <w:t>КРЕДИТНЫЙ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ПОТРЕБИТЕЛЬСКИЙ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КООПЕРАТИВ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СЕМЬЯ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(ИНН 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3436008444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ОГРН 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1103453001299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E2E24">
              <w:rPr>
                <w:rFonts w:ascii="Times New Roman" w:hAnsi="Times New Roman"/>
                <w:sz w:val="20"/>
                <w:szCs w:val="20"/>
              </w:rPr>
              <w:t xml:space="preserve">, адрес </w:t>
            </w:r>
            <w:proofErr w:type="gramStart"/>
            <w:r w:rsidRPr="00BB5276">
              <w:rPr>
                <w:rFonts w:ascii="Times New Roman" w:hAnsi="Times New Roman"/>
                <w:sz w:val="20"/>
                <w:szCs w:val="20"/>
              </w:rPr>
              <w:t>355004,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Ставропольский</w:t>
            </w:r>
            <w:proofErr w:type="gramEnd"/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край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,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СТАВРОПОЛЬ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,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УЛ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МИРА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,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. 278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,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5276">
              <w:rPr>
                <w:rFonts w:ascii="Times New Roman" w:hAnsi="Times New Roman" w:hint="eastAsia"/>
                <w:sz w:val="20"/>
                <w:szCs w:val="20"/>
              </w:rPr>
              <w:t>ПОМЕЩ</w:t>
            </w:r>
            <w:r w:rsidRPr="00BB5276">
              <w:rPr>
                <w:rFonts w:ascii="Times New Roman" w:hAnsi="Times New Roman"/>
                <w:sz w:val="20"/>
                <w:szCs w:val="20"/>
              </w:rPr>
              <w:t>. 74</w:t>
            </w:r>
            <w:r w:rsidR="001E2E24">
              <w:rPr>
                <w:rFonts w:ascii="Times New Roman" w:hAnsi="Times New Roman"/>
                <w:sz w:val="20"/>
                <w:szCs w:val="20"/>
              </w:rPr>
              <w:t xml:space="preserve">, в лице </w:t>
            </w:r>
            <w:r>
              <w:rPr>
                <w:rFonts w:ascii="Times New Roman" w:hAnsi="Times New Roman"/>
                <w:sz w:val="20"/>
                <w:szCs w:val="20"/>
              </w:rPr>
              <w:t>ПРЕДСЕДАТЕЛЯ ликвидационной комиссии</w:t>
            </w:r>
            <w:r w:rsidR="001E2E24">
              <w:rPr>
                <w:rFonts w:ascii="Times New Roman" w:hAnsi="Times New Roman"/>
                <w:sz w:val="20"/>
                <w:szCs w:val="20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Устава</w:t>
            </w:r>
            <w:r w:rsidR="001E2E24">
              <w:rPr>
                <w:rFonts w:ascii="Times New Roman" w:hAnsi="Times New Roman"/>
                <w:sz w:val="20"/>
                <w:szCs w:val="20"/>
              </w:rPr>
              <w:t>, имену</w:t>
            </w:r>
            <w:r w:rsidR="001E2E24">
              <w:rPr>
                <w:rFonts w:ascii="Times New Roman" w:hAnsi="Times New Roman"/>
                <w:sz w:val="20"/>
                <w:szCs w:val="20"/>
              </w:rPr>
              <w:t>емый в дальнейшем «Продавец», с одной стороны, и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Предмет договора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 w:rsidP="00BB527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 В соответствии с Протоколом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BB5276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по продаже имущества </w:t>
            </w:r>
            <w:r w:rsidR="00BB5276">
              <w:rPr>
                <w:rFonts w:ascii="Times New Roman" w:hAnsi="Times New Roman"/>
                <w:sz w:val="20"/>
                <w:szCs w:val="20"/>
              </w:rPr>
              <w:t>КПК «Семья»</w:t>
            </w:r>
            <w:r>
              <w:rPr>
                <w:rFonts w:ascii="Times New Roman" w:hAnsi="Times New Roman"/>
                <w:sz w:val="20"/>
                <w:szCs w:val="20"/>
              </w:rPr>
              <w:t>, размещенным на торговой площадке АО "РАД" (https://lot-online.ru/)  (далее по тексту – "Протокол"), Продавец обязуется передать в собственность Покупателя, признанного Победителем ука</w:t>
            </w:r>
            <w:r>
              <w:rPr>
                <w:rFonts w:ascii="Times New Roman" w:hAnsi="Times New Roman"/>
                <w:sz w:val="20"/>
                <w:szCs w:val="20"/>
              </w:rPr>
              <w:t>занных торгов, имущество, выигранное на этих торгах, а именно: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FA1FE4" w:rsidRDefault="001E2E24" w:rsidP="00BB527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№1 - Жилой дом,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площадь: 38м², кадастровый номер: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26:13:100802:615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земельный участок , кадастровый номер: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26:13:100802:30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Право собственности зарегистрировано в установленном за</w:t>
            </w:r>
            <w:r>
              <w:rPr>
                <w:rFonts w:ascii="Times New Roman" w:hAnsi="Times New Roman"/>
                <w:sz w:val="20"/>
                <w:szCs w:val="20"/>
              </w:rPr>
              <w:t>коном порядке (далее по тексту - «Имущество»).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 Продавец обязуется: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2.1.1. Передать Покупателю имущество по акту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приема-передачи.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</w:t>
            </w:r>
            <w:r>
              <w:rPr>
                <w:rFonts w:ascii="Times New Roman" w:hAnsi="Times New Roman"/>
                <w:sz w:val="20"/>
                <w:szCs w:val="20"/>
              </w:rPr>
              <w:t>расчетный счет Продавца денежных средств в соответствии с настоящим договором.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2.2. Покупатель обязан: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r>
              <w:rPr>
                <w:rFonts w:ascii="Times New Roman" w:hAnsi="Times New Roman"/>
                <w:sz w:val="20"/>
                <w:szCs w:val="20"/>
              </w:rPr>
              <w:t>2.2.1. Оплатить полную стоимость имущества в соответствии с настоящим договором.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2.2.2. В течение 30 (тридцати) рабочих дней со дня исполнения всех св</w:t>
            </w:r>
            <w:r>
              <w:rPr>
                <w:rFonts w:ascii="Times New Roman" w:hAnsi="Times New Roman"/>
                <w:sz w:val="20"/>
                <w:szCs w:val="20"/>
              </w:rPr>
              <w:t>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r>
              <w:rPr>
                <w:rFonts w:ascii="Times New Roman" w:hAnsi="Times New Roman"/>
                <w:sz w:val="20"/>
                <w:szCs w:val="20"/>
              </w:rPr>
              <w:t>3.1. Стоимость имущества составляет: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 w:rsidP="00BB5276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(Ноль рублей 00 копеек) без учета </w:t>
            </w:r>
            <w:r w:rsidR="00BB5276">
              <w:rPr>
                <w:rFonts w:ascii="Times New Roman" w:hAnsi="Times New Roman"/>
                <w:sz w:val="20"/>
                <w:szCs w:val="20"/>
              </w:rPr>
              <w:t>НДС (подпункт 15 п.2 ст.146 НК)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Цена настоящего договора установлена по результатам проведения торгов, которые проводились </w:t>
            </w:r>
            <w:r w:rsidR="00BB5276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2023г. на сайте https://l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ot-online.ru/, и указана в Протоколе  от </w:t>
            </w:r>
            <w:r w:rsidR="00BB5276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2023г. является окончательной и изменению не подлежит.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</w:t>
            </w:r>
            <w:r>
              <w:rPr>
                <w:rFonts w:ascii="Times New Roman" w:hAnsi="Times New Roman"/>
                <w:sz w:val="20"/>
                <w:szCs w:val="20"/>
              </w:rPr>
              <w:t>ств, несет Покупатель.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Шелестов Дмитрий Юрьевич (ИНН 745215858804)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r>
              <w:rPr>
                <w:rFonts w:ascii="Times New Roman" w:hAnsi="Times New Roman"/>
                <w:sz w:val="20"/>
                <w:szCs w:val="20"/>
              </w:rPr>
              <w:t xml:space="preserve">Р/СЧ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40701810760100000021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040702615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КР/СЧ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30101810907020000615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="00BB5276" w:rsidRPr="00BB5276">
              <w:rPr>
                <w:rFonts w:ascii="Times New Roman" w:hAnsi="Times New Roman"/>
                <w:sz w:val="20"/>
                <w:szCs w:val="20"/>
              </w:rPr>
              <w:t>Ставропольское отделение № 5230 ПАО Сбербанк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r>
              <w:rPr>
                <w:rFonts w:ascii="Times New Roman" w:hAnsi="Times New Roman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Моментом надлежащей оплаты по настоящему договору считать момент перечисления банком Покупателя либо банком-к</w:t>
            </w:r>
            <w:r>
              <w:rPr>
                <w:rFonts w:ascii="Times New Roman" w:hAnsi="Times New Roman"/>
                <w:sz w:val="20"/>
                <w:szCs w:val="20"/>
              </w:rPr>
              <w:t>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 Продавец в течение 30 (тридцати) рабочих дней со дня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</w:t>
            </w:r>
            <w:r>
              <w:rPr>
                <w:rFonts w:ascii="Times New Roman" w:hAnsi="Times New Roman"/>
                <w:sz w:val="20"/>
                <w:szCs w:val="20"/>
              </w:rPr>
              <w:t>м передачи имущества Покупателю.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</w:t>
            </w:r>
            <w:r>
              <w:rPr>
                <w:rFonts w:ascii="Times New Roman" w:hAnsi="Times New Roman"/>
                <w:sz w:val="20"/>
                <w:szCs w:val="20"/>
              </w:rPr>
              <w:t>авцом своими силами и за свой счет.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</w:t>
            </w:r>
            <w:r>
              <w:rPr>
                <w:rFonts w:ascii="Times New Roman" w:hAnsi="Times New Roman"/>
                <w:sz w:val="20"/>
                <w:szCs w:val="20"/>
              </w:rPr>
              <w:t>бели или случайного повреждения имущества, переданного Покупателю.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Сторон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6.2. Отсутствие вины за неисполнение 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</w:t>
            </w:r>
            <w:r>
              <w:rPr>
                <w:rFonts w:ascii="Times New Roman" w:hAnsi="Times New Roman"/>
                <w:sz w:val="20"/>
                <w:szCs w:val="20"/>
              </w:rPr>
              <w:t>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</w:t>
            </w:r>
            <w:r>
              <w:rPr>
                <w:rFonts w:ascii="Times New Roman" w:hAnsi="Times New Roman"/>
                <w:sz w:val="20"/>
                <w:szCs w:val="20"/>
              </w:rPr>
              <w:t>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</w:t>
            </w:r>
            <w:r>
              <w:rPr>
                <w:rFonts w:ascii="Times New Roman" w:hAnsi="Times New Roman"/>
                <w:sz w:val="20"/>
                <w:szCs w:val="20"/>
              </w:rPr>
              <w:t>ежащего исполнения обязательств.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8.2. Если покупатель в нарушение договора купли-продажи отказывается принять и оплатить товар, </w:t>
            </w:r>
            <w:r>
              <w:rPr>
                <w:rFonts w:ascii="Times New Roman" w:hAnsi="Times New Roman"/>
                <w:sz w:val="20"/>
                <w:szCs w:val="20"/>
              </w:rPr>
              <w:t>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8.3. Право на односторонний отказ от договора (исполнения договора) (статья 310 Гражданского 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</w:t>
            </w:r>
            <w:r>
              <w:rPr>
                <w:rFonts w:ascii="Times New Roman" w:hAnsi="Times New Roman"/>
                <w:sz w:val="20"/>
                <w:szCs w:val="20"/>
              </w:rPr>
              <w:t>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</w:t>
            </w:r>
            <w:r>
              <w:rPr>
                <w:rFonts w:ascii="Times New Roman" w:hAnsi="Times New Roman"/>
                <w:sz w:val="20"/>
                <w:szCs w:val="20"/>
              </w:rPr>
              <w:t>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9.2. Сторонами договора </w:t>
            </w:r>
            <w:r>
              <w:rPr>
                <w:rFonts w:ascii="Times New Roman" w:hAnsi="Times New Roman"/>
                <w:sz w:val="20"/>
                <w:szCs w:val="20"/>
              </w:rPr>
              <w:t>рассмотрены все документы, подготовленные в связи с продажей имущества.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9.3. Настоящий Договор составлен в 2-х экземплярах, имеющих одинаковую юридическую силу.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9.4. По всем вопросам, не нашедшим решения в условиях настоящего договора, но прямо или косве</w:t>
            </w:r>
            <w:r>
              <w:rPr>
                <w:rFonts w:ascii="Times New Roman" w:hAnsi="Times New Roman"/>
                <w:sz w:val="20"/>
                <w:szCs w:val="20"/>
              </w:rPr>
              <w:t>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</w:t>
            </w:r>
            <w:r>
              <w:rPr>
                <w:rFonts w:ascii="Times New Roman" w:hAnsi="Times New Roman"/>
                <w:sz w:val="20"/>
                <w:szCs w:val="20"/>
              </w:rPr>
              <w:t>рмами и положениями действующего законодательства Российской Федерации.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Default="001E2E2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1E2E24" w:rsidRPr="001E2E24" w:rsidRDefault="001E2E24" w:rsidP="001E2E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E24">
              <w:rPr>
                <w:rFonts w:ascii="Times New Roman" w:hAnsi="Times New Roman"/>
                <w:b/>
                <w:sz w:val="20"/>
                <w:szCs w:val="20"/>
              </w:rPr>
              <w:t>КПК Семья (ИНН)</w:t>
            </w:r>
          </w:p>
          <w:p w:rsidR="00FA1FE4" w:rsidRDefault="001E2E24" w:rsidP="001E2E24">
            <w:r w:rsidRPr="001E2E24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2E24">
              <w:rPr>
                <w:rFonts w:ascii="Times New Roman" w:hAnsi="Times New Roman"/>
                <w:b/>
                <w:sz w:val="20"/>
                <w:szCs w:val="20"/>
              </w:rPr>
              <w:t xml:space="preserve">355035, </w:t>
            </w:r>
            <w:proofErr w:type="spellStart"/>
            <w:r w:rsidRPr="001E2E24">
              <w:rPr>
                <w:rFonts w:ascii="Times New Roman" w:hAnsi="Times New Roman"/>
                <w:b/>
                <w:sz w:val="20"/>
                <w:szCs w:val="20"/>
              </w:rPr>
              <w:t>Ставропрольский</w:t>
            </w:r>
            <w:proofErr w:type="spellEnd"/>
            <w:r w:rsidRPr="001E2E24">
              <w:rPr>
                <w:rFonts w:ascii="Times New Roman" w:hAnsi="Times New Roman"/>
                <w:b/>
                <w:sz w:val="20"/>
                <w:szCs w:val="20"/>
              </w:rPr>
              <w:t xml:space="preserve"> Край. Г. Ставрополь, Ул. Мира, Д. 278 «Д», Пом. 74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 w:rsidP="001E2E24">
            <w:r>
              <w:rPr>
                <w:rFonts w:ascii="Times New Roman" w:hAnsi="Times New Roman"/>
                <w:sz w:val="20"/>
                <w:szCs w:val="20"/>
              </w:rPr>
              <w:t xml:space="preserve">(ИНН </w:t>
            </w:r>
            <w:r w:rsidRPr="001E2E24">
              <w:rPr>
                <w:rFonts w:ascii="Times New Roman" w:hAnsi="Times New Roman"/>
                <w:b/>
                <w:sz w:val="20"/>
                <w:szCs w:val="20"/>
              </w:rPr>
              <w:t>3436008444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 </w:t>
            </w:r>
            <w:r w:rsidRPr="001E2E24">
              <w:rPr>
                <w:rFonts w:ascii="Times New Roman" w:hAnsi="Times New Roman"/>
                <w:sz w:val="20"/>
                <w:szCs w:val="20"/>
              </w:rPr>
              <w:t>40701810760100000021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БИК </w:t>
            </w:r>
            <w:r w:rsidRPr="001E2E24">
              <w:rPr>
                <w:rFonts w:ascii="Times New Roman" w:hAnsi="Times New Roman"/>
                <w:sz w:val="20"/>
                <w:szCs w:val="20"/>
              </w:rPr>
              <w:t>040702615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КР/СЧ </w:t>
            </w:r>
            <w:r w:rsidRPr="001E2E24">
              <w:rPr>
                <w:rFonts w:ascii="Times New Roman" w:hAnsi="Times New Roman"/>
                <w:sz w:val="20"/>
                <w:szCs w:val="20"/>
              </w:rPr>
              <w:t>30101810907020000615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Pr="001E2E24">
              <w:rPr>
                <w:rFonts w:ascii="Times New Roman" w:hAnsi="Times New Roman"/>
                <w:sz w:val="20"/>
                <w:szCs w:val="20"/>
              </w:rPr>
              <w:t>Ставропольское отделение № 5230 ПАО Сбербанк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5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t>Председатель ликвидационной комиссии</w:t>
            </w: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</w:tr>
      <w:tr w:rsidR="00FA1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Айсович</w:t>
            </w:r>
            <w:proofErr w:type="spellEnd"/>
            <w:r>
              <w:t xml:space="preserve"> </w:t>
            </w:r>
            <w:proofErr w:type="spellStart"/>
            <w:r>
              <w:t>Хамуков</w:t>
            </w:r>
            <w:proofErr w:type="spellEnd"/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FA1FE4" w:rsidRDefault="001E2E24">
            <w:pPr>
              <w:jc w:val="both"/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FA1FE4" w:rsidRDefault="00FA1FE4">
            <w:pPr>
              <w:jc w:val="both"/>
            </w:pPr>
          </w:p>
        </w:tc>
      </w:tr>
    </w:tbl>
    <w:p w:rsidR="00000000" w:rsidRDefault="001E2E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E4"/>
    <w:rsid w:val="001E2E24"/>
    <w:rsid w:val="00BB5276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18C8"/>
  <w15:docId w15:val="{C7A2D2AF-3E1E-4F99-AD1B-9EDDCCD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КПК</dc:creator>
  <cp:lastModifiedBy>Юрист КПК</cp:lastModifiedBy>
  <cp:revision>2</cp:revision>
  <dcterms:created xsi:type="dcterms:W3CDTF">2023-08-02T08:58:00Z</dcterms:created>
  <dcterms:modified xsi:type="dcterms:W3CDTF">2023-08-02T08:58:00Z</dcterms:modified>
</cp:coreProperties>
</file>