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1"/>
        <w:numPr>
          <w:ilvl w:val="1"/>
          <w:numId w:val="1"/>
        </w:numPr>
        <w:ind w:left="576"/>
        <w:jc w:val="center"/>
        <w:keepNext w:val="0"/>
        <w:spacing w:before="0" w:after="0" w:line="240" w:lineRule="auto"/>
        <w:tabs>
          <w:tab w:val="num" w:pos="0" w:leader="none"/>
          <w:tab w:val="clear" w:pos="1416" w:leader="none"/>
        </w:tabs>
        <w:rPr>
          <w:rFonts w:ascii="Times New Roman" w:hAnsi="Times New Roman"/>
          <w:sz w:val="22"/>
          <w:szCs w:val="22"/>
        </w:rPr>
      </w:pPr>
      <w:r>
        <w:rPr>
          <w:rStyle w:val="823"/>
          <w:rFonts w:ascii="Times New Roman" w:hAnsi="Times New Roman"/>
          <w:color w:val="auto"/>
          <w:sz w:val="22"/>
          <w:szCs w:val="22"/>
        </w:rPr>
        <w:t xml:space="preserve">Договор купли-продажи имущества</w:t>
      </w:r>
      <w:r/>
    </w:p>
    <w:p>
      <w:r/>
      <w:r/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4994"/>
      </w:tblGrid>
      <w:tr>
        <w:trPr>
          <w:trHeight w:val="270"/>
          <w:tblHeader/>
        </w:trPr>
        <w:tc>
          <w:tcPr>
            <w:shd w:val="clear" w:color="auto" w:fill="auto"/>
            <w:tcW w:w="49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Style w:val="823"/>
                <w:rFonts w:ascii="Times New Roman" w:hAnsi="Times New Roman"/>
                <w:color w:val="auto"/>
              </w:rPr>
            </w:pPr>
            <w:r/>
            <w:bookmarkStart w:id="0" w:name="linkContainere55"/>
            <w:r/>
            <w:bookmarkEnd w:id="0"/>
            <w:r>
              <w:rPr>
                <w:rFonts w:ascii="Times New Roman" w:hAnsi="Times New Roman"/>
              </w:rPr>
              <w:t xml:space="preserve"> г. </w:t>
            </w:r>
            <w:r>
              <w:rPr>
                <w:rStyle w:val="823"/>
                <w:rFonts w:ascii="Times New Roman" w:hAnsi="Times New Roman"/>
                <w:color w:val="auto"/>
              </w:rPr>
              <w:t xml:space="preserve">Санкт-Петербург</w:t>
            </w:r>
            <w:r/>
          </w:p>
        </w:tc>
        <w:tc>
          <w:tcPr>
            <w:shd w:val="clear" w:color="auto" w:fill="auto"/>
            <w:tcW w:w="49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«___» _______ 2023 г.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</w:t>
      </w:r>
      <w:bookmarkStart w:id="1" w:name="linkContainere54"/>
      <w:r/>
      <w:bookmarkStart w:id="2" w:name="linkContainere9CE2D1A7"/>
      <w:r/>
      <w:bookmarkStart w:id="3" w:name="eC809B471"/>
      <w:r/>
      <w:bookmarkEnd w:id="1"/>
      <w:r/>
      <w:bookmarkEnd w:id="2"/>
      <w:r/>
      <w:bookmarkEnd w:id="3"/>
      <w:r/>
      <w:r/>
    </w:p>
    <w:p>
      <w:pPr>
        <w:spacing w:after="0" w:line="240" w:lineRule="auto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Финансовый управляющий </w:t>
      </w:r>
      <w:bookmarkStart w:id="4" w:name="_Hlk139293318"/>
      <w:r>
        <w:rPr>
          <w:rFonts w:ascii="Times New Roman" w:hAnsi="Times New Roman"/>
          <w:b/>
          <w:bCs/>
        </w:rPr>
        <w:t xml:space="preserve">Никонова Олега Михайловича (10.07.1973 г.р., адрес: Екатеринбург, ул. Бебеля, д. 118, кв. 42,  ИНН 667107289576, СНИЛС 022-557-742- 43) </w:t>
      </w:r>
      <w:r>
        <w:rPr>
          <w:rFonts w:ascii="Times New Roman" w:hAnsi="Times New Roman"/>
        </w:rPr>
        <w:t xml:space="preserve">Теплова Елена Павловна, действующая на основании Решения Арбитражного суда Свердловской области от 14.02.2022 г. по делу № А60-23924/2021 , </w:t>
      </w:r>
      <w:r>
        <w:rPr>
          <w:rFonts w:ascii="Times New Roman" w:hAnsi="Times New Roman"/>
        </w:rPr>
        <w:t xml:space="preserve">далее именуемый – Продавец, с одной стороны</w:t>
      </w:r>
      <w:r>
        <w:t xml:space="preserve">, </w:t>
      </w:r>
      <w:bookmarkEnd w:id="4"/>
      <w:r>
        <w:rPr>
          <w:rFonts w:ascii="Times New Roman" w:hAnsi="Times New Roman"/>
        </w:rPr>
        <w:t xml:space="preserve">и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________________________________________________________________________________________________________________________________________________________________________,(далее – Покупатель), </w:t>
      </w:r>
      <w:r>
        <w:rPr>
          <w:rFonts w:ascii="Times New Roman" w:hAnsi="Times New Roman"/>
          <w:i/>
        </w:rPr>
        <w:t xml:space="preserve">с другой стороны, </w:t>
      </w:r>
      <w:r>
        <w:rPr>
          <w:rFonts w:ascii="Times New Roman" w:hAnsi="Times New Roman"/>
        </w:rPr>
        <w:t xml:space="preserve">вместе именуемые "Стороны", заключили настоящий Договор купли-продажи имущества по результатам торгов, согласно Протоколу подведения итогов торгов от _________ (далее – Договор) о нижеследующем:</w:t>
      </w:r>
      <w:r/>
    </w:p>
    <w:p>
      <w:pPr>
        <w:pStyle w:val="824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24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ind w:left="720"/>
        <w:spacing w:before="0" w:after="0"/>
        <w:tabs>
          <w:tab w:val="num" w:pos="0" w:leader="none"/>
          <w:tab w:val="clear" w:pos="141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1. Предмет Договора</w:t>
      </w:r>
      <w:r/>
    </w:p>
    <w:p>
      <w:pPr>
        <w:pStyle w:val="820"/>
        <w:spacing w:after="0" w:line="240" w:lineRule="auto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  <w:r/>
    </w:p>
    <w:p>
      <w:pPr>
        <w:pStyle w:val="82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 Продавец передает в собственность Покупателю за плату имущество, а Покупатель обязуется принять в собственность и оплатить имущество на условиях и в порядке, установленном настоящим Договором.</w:t>
      </w:r>
      <w:r/>
    </w:p>
    <w:p>
      <w:pPr>
        <w:pStyle w:val="8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передает в собственность Покупателю, а Покупатель принимает в свою собственность, имущество, имеющее описание и характеристики согласно Приложению № 1 к настоящему договору (далее – Имущество). </w:t>
      </w:r>
      <w:r/>
    </w:p>
    <w:p>
      <w:pPr>
        <w:pStyle w:val="8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последнего, то продажа заложенного имущества в порядке, предусмотренном Законом о банкротстве (пунк</w:t>
      </w:r>
      <w:r>
        <w:rPr>
          <w:sz w:val="22"/>
          <w:szCs w:val="22"/>
        </w:rPr>
        <w:t xml:space="preserve">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  </w:t>
      </w:r>
      <w:r/>
    </w:p>
    <w:p>
      <w:pPr>
        <w:pStyle w:val="8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Покупателю известны все существенные характеристики передаваемого имущества (состояние - б/у, состав</w:t>
      </w:r>
      <w:r>
        <w:rPr>
          <w:sz w:val="22"/>
          <w:szCs w:val="22"/>
        </w:rPr>
        <w:t xml:space="preserve">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</w:t>
      </w:r>
      <w:r>
        <w:rPr>
          <w:sz w:val="22"/>
          <w:szCs w:val="22"/>
        </w:rPr>
        <w:t xml:space="preserve">комплектности, затариванию, упаковке)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</w:t>
      </w:r>
      <w:r>
        <w:rPr>
          <w:sz w:val="22"/>
          <w:szCs w:val="22"/>
        </w:rPr>
        <w:t xml:space="preserve">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  <w:r/>
    </w:p>
    <w:p>
      <w:pPr>
        <w:pStyle w:val="8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Никакое иное имущество, кроме как прямо предусмотренное в настоящем договоре, не входит в состав Имущества.</w:t>
      </w:r>
      <w:r/>
    </w:p>
    <w:p>
      <w:pPr>
        <w:pStyle w:val="642"/>
        <w:ind w:left="0" w:hanging="13"/>
        <w:spacing w:before="0" w:after="0"/>
        <w:tabs>
          <w:tab w:val="num" w:pos="0" w:leader="none"/>
          <w:tab w:val="clear" w:pos="1416" w:leader="none"/>
        </w:tabs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  <w:r/>
    </w:p>
    <w:p>
      <w:pPr>
        <w:pStyle w:val="820"/>
      </w:pPr>
      <w:r/>
      <w:r/>
    </w:p>
    <w:p>
      <w:pPr>
        <w:pStyle w:val="642"/>
        <w:ind w:left="0" w:hanging="13"/>
        <w:spacing w:before="0" w:after="0"/>
        <w:tabs>
          <w:tab w:val="num" w:pos="0" w:leader="none"/>
          <w:tab w:val="clear" w:pos="141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 Цена продажи, порядок расчетов и передачи имущества.</w:t>
      </w:r>
      <w:r/>
    </w:p>
    <w:p>
      <w:pPr>
        <w:pStyle w:val="82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firstLine="567"/>
        <w:jc w:val="both"/>
        <w:spacing w:after="0" w:line="240" w:lineRule="auto"/>
        <w:tabs>
          <w:tab w:val="left" w:pos="54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Цена продажи Имущества в соответствии с протоколом об итогах проведения торгов составляет _______________(__________________) рублей, НДС не облагается.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Сумма внесенного задатка, установленного в </w:t>
      </w:r>
      <w:r>
        <w:rPr>
          <w:rFonts w:ascii="Times New Roman" w:hAnsi="Times New Roman"/>
        </w:rPr>
        <w:t xml:space="preserve">размере </w:t>
      </w:r>
      <w:r>
        <w:rPr>
          <w:rFonts w:ascii="Times New Roman" w:hAnsi="Times New Roman"/>
        </w:rPr>
        <w:t xml:space="preserve">74 000</w:t>
      </w:r>
      <w:r>
        <w:rPr>
          <w:rFonts w:ascii="Times New Roman" w:hAnsi="Times New Roman"/>
        </w:rPr>
        <w:t xml:space="preserve">(</w:t>
      </w:r>
      <w:r>
        <w:rPr>
          <w:rFonts w:ascii="Times New Roman" w:hAnsi="Times New Roman"/>
        </w:rPr>
        <w:t xml:space="preserve">семьдесят четыре тысячи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руб., перечисленная Покупателем на расчетный счет Продавца на основании платежного поручения </w:t>
      </w:r>
      <w:r>
        <w:rPr>
          <w:rFonts w:ascii="Times New Roman" w:hAnsi="Times New Roman"/>
        </w:rPr>
        <w:t xml:space="preserve">от «___» _________ 20___ г. № ________, засчитывается Покупателю в счет оплаты цены продажи Имущества в соответствии с частью 4 статьи 448 ГК РФ.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Подлежащая оплате оставшаяся часть цены продажи Имущества составляет _________ (________________) рублей.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2.3.1. Оплата по настоящему договору за Покупателя третьим лицом не допускается.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2.5. Покупатель перечисляет подлежащую оплате сумму, указанную в п. 2.3. Договора, единовременно в течение 30 (тридцать) календарных дней с даты подписания настоящего Договора путём перечисления денежных средств на расчетный счет Про</w:t>
      </w:r>
      <w:r>
        <w:rPr>
          <w:rFonts w:ascii="Times New Roman" w:hAnsi="Times New Roman"/>
        </w:rPr>
        <w:t xml:space="preserve">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2.6. В случае неисполнения или ненадлежащего исполнения Покупателем обязательства по оплате, установленного п.2.3 Договора, в срок, предусмотренный п.2.5 Договора, </w:t>
      </w:r>
      <w:r>
        <w:rPr>
          <w:rFonts w:ascii="Times New Roman" w:hAnsi="Times New Roman"/>
        </w:rPr>
        <w:t xml:space="preserve">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2.6.1. Об одностороннем отказе от исполнения настоящего Договора в соответствии с пунктом 2.6 настоящего Договора Продавец уведомляет Покупателя.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2.6.3. В случае расторжения настоящего Договора в соответствии с пунктом 2.6 настоящего Договора задаток, внесенный Покупателем, не возвращается.</w:t>
      </w:r>
      <w:r/>
    </w:p>
    <w:p>
      <w:pPr>
        <w:ind w:hanging="13"/>
        <w:jc w:val="both"/>
        <w:spacing w:after="0" w:line="240" w:lineRule="auto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  <w:r/>
    </w:p>
    <w:p>
      <w:pPr>
        <w:ind w:hanging="13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hanging="13"/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Переход прав на Имущество</w:t>
      </w:r>
      <w:r/>
    </w:p>
    <w:p>
      <w:pPr>
        <w:ind w:hanging="13"/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hanging="13"/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3.1. Имущество и необходимая документация в отношении Имущества передаются Покупателю Продавцом в</w:t>
      </w:r>
      <w:r>
        <w:rPr>
          <w:rFonts w:ascii="Times New Roman" w:hAnsi="Times New Roman"/>
          <w:bCs/>
        </w:rPr>
        <w:t xml:space="preserve"> течение 5 (пяти) рабочих дней после зачисления всей суммы денежных средств, предусмотренной пунктом 2.3. настоящего Договора на расчетный счет, указанный в настоящем Договоре. Место расположения Имущества указывается в Приложении №1 к настоящему Договору.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3.2. Получение Объекта предусматривается Покупателем в месте расположения Объекта на день заключения настоящего Договора. Место расположения Объекта указывается в Приложении №1 к настоящему Договору.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3.3. Передача Имущества и необходимой докумен</w:t>
      </w:r>
      <w:r>
        <w:rPr>
          <w:rFonts w:ascii="Times New Roman" w:hAnsi="Times New Roman"/>
          <w:bCs/>
        </w:rPr>
        <w:t xml:space="preserve">тации в отношении Имущества Продавцом и принятие его Покупателем осуществляются по передаточному акту, подписываемому Продавцом и Покупателем. В момент подписания Продавцом и Покупателем передаточного акта, предусмотренного пунктом 3.3 настоящего Договора: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3.3.1. Обязанность по передаче Имущества Покупателю считается исполненной;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3.3.2. У Покупателя возникает право собственности на Имущество, если переход права собственности</w:t>
      </w:r>
      <w:r>
        <w:rPr>
          <w:rFonts w:ascii="Times New Roman" w:hAnsi="Times New Roman"/>
        </w:rPr>
        <w:t xml:space="preserve"> на Имущество не подлежит государственной регистрации;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3.3.3. Риск утраты (включая гибель и хищение) или повреждения Имущества переходит от Продавца к Покупателю.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Доставка и доведение Имущества до состояния, в котором он пригоден для использования, а равно как демонтаж и/или разрешение сп</w:t>
      </w:r>
      <w:r>
        <w:rPr>
          <w:rFonts w:ascii="Times New Roman" w:hAnsi="Times New Roman"/>
        </w:rPr>
        <w:t xml:space="preserve">оров со смежными пользователями, собственниками помещений, где находится имущества по вопросам его сохранного демонтажа и вывоза и/или вывоз и доставка до места нахождения Покупателя и т.п. действия осуществляются Покупателем самостоятельно и за свой счет.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В случае если в соответствии с действующим законодательством Имущество подлежит регистрационному учету: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3.5.1. Одновременно с подписанием передаточного акта </w:t>
      </w:r>
      <w:r>
        <w:rPr>
          <w:rFonts w:ascii="Times New Roman" w:hAnsi="Times New Roman"/>
          <w:bCs/>
        </w:rPr>
        <w:t xml:space="preserve">Продавец</w:t>
      </w:r>
      <w:r>
        <w:rPr>
          <w:rFonts w:ascii="Times New Roman" w:hAnsi="Times New Roman"/>
        </w:rPr>
        <w:t xml:space="preserve"> обязан передать </w:t>
      </w:r>
      <w:r>
        <w:rPr>
          <w:rFonts w:ascii="Times New Roman" w:hAnsi="Times New Roman"/>
          <w:bCs/>
        </w:rPr>
        <w:t xml:space="preserve">Покупателю, а Покупатель обязан принять</w:t>
      </w:r>
      <w:r>
        <w:rPr>
          <w:rFonts w:ascii="Times New Roman" w:hAnsi="Times New Roman"/>
        </w:rPr>
        <w:t xml:space="preserve"> документы, обеспечивающие возможность </w:t>
      </w:r>
      <w:r>
        <w:rPr>
          <w:rFonts w:ascii="Times New Roman" w:hAnsi="Times New Roman"/>
        </w:rPr>
        <w:t xml:space="preserve">осуществления в отношении Имущества регистрационных действий, предусмотренных законодательством Российской Федерации.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3.5.2. Передаточный акт является основанием для регистрации Имущества в регистрирующем органе на имя Покупателя.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3.5.3. Покупатель обязуется своими силами и за свой счет осуществить все действия, необходимые для постановки Имущества на регистрационный учет.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hanging="13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hanging="13"/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Ответственность Сторон</w:t>
      </w:r>
      <w:r/>
    </w:p>
    <w:p>
      <w:pPr>
        <w:ind w:hanging="13"/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hanging="13"/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Настоящим по взаимному и добровольному согласию Сторон устраняется, какая бы то ни было ответственность Продавца за качество Имущества, за исключением случаев выявления недостатков Имущества, обусловленных умыш</w:t>
      </w:r>
      <w:r>
        <w:rPr>
          <w:rFonts w:ascii="Times New Roman" w:hAnsi="Times New Roman"/>
        </w:rPr>
        <w:t xml:space="preserve">ленными противоправными действиями (бездействием) Продавца. Бремя доказывания умышленного совершения Продавцом противоправных действий (бездействия), обусловивших недостатки Оборудования, возлагается на Покупателя по всем элементам состава правонарушения. </w:t>
      </w:r>
      <w:r/>
    </w:p>
    <w:p>
      <w:pPr>
        <w:ind w:hanging="13"/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hanging="13"/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hanging="13"/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Прочие условия</w:t>
      </w:r>
      <w:r/>
    </w:p>
    <w:p>
      <w:pPr>
        <w:ind w:hanging="13"/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hanging="13"/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Надлежащим признается направление документов Стороне-адресату по адресу, определяемому в соотве</w:t>
      </w:r>
      <w:r>
        <w:rPr>
          <w:rFonts w:ascii="Times New Roman" w:hAnsi="Times New Roman"/>
        </w:rPr>
        <w:t xml:space="preserve">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сообщенного в соответствии с пунктом 5.3 настоящего Договора;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Надлежащим признается направление документов Стороне-адресату любым из следующих способов: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5.2.1. Вручением корреспонденции посыльным (курьером) под роспись;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5.2.2. Ценным письмом с описью вложения и уведомлением о вручении;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5.2.3. Телеграфным сообщением.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 Засв</w:t>
      </w:r>
      <w:r>
        <w:rPr>
          <w:rFonts w:ascii="Times New Roman" w:hAnsi="Times New Roman"/>
        </w:rPr>
        <w:t xml:space="preserve">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</w:t>
      </w:r>
      <w:r>
        <w:rPr>
          <w:rFonts w:ascii="Times New Roman" w:hAnsi="Times New Roman"/>
        </w:rPr>
        <w:t xml:space="preserve">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 В случаях, предусмотренных пунктом 5.3 настоящего Договора, датой получения Стороной-адресатом корреспонденции признаются: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5.5.1. 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5.5.2. День составления оператором связи служебного извещения или иного аналогичного документа о невручении телеграммы.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города Сан</w:t>
      </w:r>
      <w:r>
        <w:rPr>
          <w:rFonts w:ascii="Times New Roman" w:hAnsi="Times New Roman"/>
        </w:rPr>
        <w:t xml:space="preserve">кт-Петербурга и Ленинградской области или, если спор подведомственен суду общей юрисдикции г. Санкт-Петербурга в соответствии с их компетенцией, если в соответствии с действующим законодательством спор не отнесен к исключительной подсудности другого суда.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5.7.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</w:t>
      </w:r>
      <w:r>
        <w:rPr>
          <w:rFonts w:ascii="Times New Roman" w:hAnsi="Times New Roman"/>
        </w:rPr>
        <w:t xml:space="preserve">Договора, Сторонам надлежит руководствоваться положениями законодательства Российской Федерации.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5.8. Настоящий Договор составлен в двух экземплярах, имеющих равную юридическую силу, по одному для каждой из Сторон. В случаях, указанных в п.3.5 и 3.6 Договора, составляется дополнительный экземпляр оригинала Договора для регистрирующего органа.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5.9. Приложение №1 Акт приема-передач является неотъемлемой частью настоящего Договора.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42"/>
        <w:ind w:left="0" w:hanging="13"/>
        <w:spacing w:before="0" w:after="0"/>
        <w:tabs>
          <w:tab w:val="num" w:pos="0" w:leader="none"/>
          <w:tab w:val="clear" w:pos="141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6. Адреса, реквизиты и подписи сторон</w:t>
      </w:r>
      <w:r/>
    </w:p>
    <w:p>
      <w:pPr>
        <w:pStyle w:val="82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>
        <w:trPr>
          <w:trHeight w:val="94"/>
        </w:trPr>
        <w:tc>
          <w:tcPr>
            <w:tcW w:w="467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ПРОДАВЕЦ:</w:t>
            </w:r>
            <w:r/>
          </w:p>
        </w:tc>
        <w:tc>
          <w:tcPr>
            <w:shd w:val="clear" w:color="auto" w:fill="auto"/>
            <w:tcW w:w="4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ПОКУПАТЕЛЬ:</w:t>
            </w:r>
            <w:r/>
          </w:p>
        </w:tc>
      </w:tr>
      <w:tr>
        <w:trPr>
          <w:trHeight w:val="195"/>
        </w:trPr>
        <w:tc>
          <w:tcPr>
            <w:tcW w:w="4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  <w:t xml:space="preserve">Ни</w:t>
            </w: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  <w:t xml:space="preserve">конова Олега Михайловича (10.07.1973 г.р., адрес: Екатеринбург, ул. Бебеля, д. 118, кв. 42, ИНН 667107289576, СНИЛС 022-557-742- 43), Теплова Елена Павловна, действующая на основании Решения Арбитражного суда Свердловской области от 14.02.2022 г. по делу №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  <w:t xml:space="preserve">А60-23924/2021</w:t>
            </w:r>
            <w:r/>
          </w:p>
          <w:p>
            <w:pPr>
              <w:pStyle w:val="822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/>
          </w:p>
          <w:p>
            <w:pPr>
              <w:pStyle w:val="82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82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Реквизиты для внесения задатка:</w:t>
            </w:r>
            <w:r/>
          </w:p>
          <w:p>
            <w:pPr>
              <w:pStyle w:val="8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Банк получателя: ФИЛИАЛ "ЦЕНТРАЛЬНЫЙ" ПАО "СОВКОМБАНК" (БЕРДСК)</w:t>
            </w:r>
            <w:r/>
          </w:p>
          <w:p>
            <w:pPr>
              <w:pStyle w:val="8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получателя: Никонов Олег Михайлович</w:t>
            </w:r>
            <w:r/>
          </w:p>
          <w:p>
            <w:pPr>
              <w:pStyle w:val="8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 получателя: 40817810850157603347</w:t>
            </w:r>
            <w:r/>
          </w:p>
          <w:p>
            <w:pPr>
              <w:pStyle w:val="8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Кор/счет банка: 30101810150040000763</w:t>
            </w:r>
            <w:r/>
          </w:p>
          <w:p>
            <w:pPr>
              <w:pStyle w:val="822"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НН: </w:t>
            </w:r>
            <w:r>
              <w:rPr>
                <w:highlight w:val="white"/>
              </w:rPr>
              <w:t xml:space="preserve">4401116480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22"/>
              <w:jc w:val="both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БИК: 045004763</w:t>
            </w:r>
            <w:r/>
          </w:p>
        </w:tc>
        <w:tc>
          <w:tcPr>
            <w:shd w:val="clear" w:color="auto" w:fill="auto"/>
            <w:tcW w:w="467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2"/>
        </w:trPr>
        <w:tc>
          <w:tcPr>
            <w:tcW w:w="4675" w:type="dxa"/>
            <w:textDirection w:val="lrTb"/>
            <w:noWrap w:val="false"/>
          </w:tcPr>
          <w:p>
            <w:pPr>
              <w:pStyle w:val="8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Финансовый управляющий</w:t>
            </w:r>
            <w:r/>
          </w:p>
          <w:p>
            <w:pPr>
              <w:pStyle w:val="8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8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 Е.П. Теплова</w:t>
            </w:r>
            <w:r/>
          </w:p>
          <w:p>
            <w:pPr>
              <w:ind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67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lef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spacing w:after="160" w:line="259" w:lineRule="auto"/>
        <w:rPr>
          <w:rStyle w:val="825"/>
          <w:rFonts w:ascii="Times New Roman" w:hAnsi="Times New Roman"/>
        </w:rPr>
      </w:pPr>
      <w:r>
        <w:rPr>
          <w:rStyle w:val="825"/>
        </w:rPr>
        <w:br w:type="page" w:clear="all"/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rStyle w:val="825"/>
          <w:sz w:val="22"/>
          <w:szCs w:val="22"/>
        </w:rPr>
        <w:t xml:space="preserve">Приложение №1</w:t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rStyle w:val="825"/>
          <w:sz w:val="22"/>
          <w:szCs w:val="22"/>
        </w:rPr>
        <w:t xml:space="preserve">к договору купли-продажи имущества </w:t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rStyle w:val="825"/>
          <w:sz w:val="22"/>
          <w:szCs w:val="22"/>
        </w:rPr>
        <w:t xml:space="preserve">от __.__.2023г.</w:t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rStyle w:val="825"/>
          <w:sz w:val="22"/>
          <w:szCs w:val="22"/>
        </w:rPr>
        <w:t xml:space="preserve">Перечень продаваемого имущества</w:t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6"/>
        <w:gridCol w:w="5985"/>
        <w:gridCol w:w="254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pStyle w:val="8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Лота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5" w:type="dxa"/>
            <w:textDirection w:val="lrTb"/>
            <w:noWrap w:val="false"/>
          </w:tcPr>
          <w:p>
            <w:pPr>
              <w:pStyle w:val="8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имущества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6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продажи (руб.)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5" w:type="dxa"/>
            <w:textDirection w:val="lrTb"/>
            <w:noWrap w:val="false"/>
          </w:tcPr>
          <w:p>
            <w:pPr>
              <w:pStyle w:val="831"/>
              <w:rPr>
                <w:bCs/>
              </w:rPr>
            </w:pPr>
            <w:r>
              <w:rPr>
                <w:bCs/>
              </w:rPr>
              <w:t xml:space="preserve">Транспортное средство: </w:t>
            </w:r>
            <w:r>
              <w:rPr>
                <w:bCs/>
              </w:rPr>
              <w:t xml:space="preserve">ОПЕЛЬ WOLJ (</w:t>
            </w:r>
            <w:r>
              <w:rPr>
                <w:bCs/>
              </w:rPr>
              <w:t xml:space="preserve">Мокка</w:t>
            </w:r>
            <w:r>
              <w:rPr>
                <w:bCs/>
              </w:rPr>
              <w:t xml:space="preserve">),</w:t>
            </w:r>
            <w:r/>
          </w:p>
          <w:p>
            <w:pPr>
              <w:pStyle w:val="831"/>
              <w:rPr>
                <w:bCs/>
              </w:rPr>
            </w:pPr>
            <w:r>
              <w:rPr>
                <w:bCs/>
              </w:rPr>
              <w:t xml:space="preserve">2014 </w:t>
            </w:r>
            <w:r>
              <w:rPr>
                <w:bCs/>
              </w:rPr>
              <w:t xml:space="preserve">г.в</w:t>
            </w:r>
            <w:r>
              <w:rPr>
                <w:bCs/>
              </w:rPr>
              <w:t xml:space="preserve">.</w:t>
            </w:r>
            <w:r/>
          </w:p>
          <w:p>
            <w:pPr>
              <w:pStyle w:val="831"/>
              <w:rPr>
                <w:bCs/>
              </w:rPr>
            </w:pPr>
            <w:r>
              <w:rPr>
                <w:bCs/>
              </w:rPr>
              <w:t xml:space="preserve">VIN: XUUJD7E81E0025294,</w:t>
            </w:r>
            <w:r/>
          </w:p>
          <w:p>
            <w:pPr>
              <w:pStyle w:val="831"/>
              <w:rPr>
                <w:bCs/>
              </w:rPr>
            </w:pPr>
            <w:r>
              <w:rPr>
                <w:bCs/>
              </w:rPr>
              <w:t xml:space="preserve">Номер кузова (кабины): XUUJD7E81E0025294,</w:t>
            </w:r>
            <w:r/>
          </w:p>
          <w:p>
            <w:pPr>
              <w:pStyle w:val="831"/>
              <w:rPr>
                <w:bCs/>
              </w:rPr>
            </w:pPr>
            <w:r>
              <w:rPr>
                <w:bCs/>
              </w:rPr>
              <w:t xml:space="preserve">Цвет белый,</w:t>
            </w:r>
            <w:r/>
          </w:p>
          <w:p>
            <w:pPr>
              <w:pStyle w:val="831"/>
              <w:rPr>
                <w:bCs/>
              </w:rPr>
            </w:pPr>
            <w:r>
              <w:rPr>
                <w:bCs/>
              </w:rPr>
              <w:t xml:space="preserve">Рабочий объем (см³):1364.0,</w:t>
            </w:r>
            <w:r/>
          </w:p>
          <w:p>
            <w:pPr>
              <w:pStyle w:val="831"/>
              <w:rPr>
                <w:bCs/>
              </w:rPr>
            </w:pPr>
            <w:r>
              <w:rPr>
                <w:bCs/>
              </w:rPr>
              <w:t xml:space="preserve">Мощность (кВт/л.с.): 103/140.04,</w:t>
            </w:r>
            <w:r/>
          </w:p>
          <w:p>
            <w:pPr>
              <w:pStyle w:val="831"/>
              <w:ind w:left="400" w:firstLine="0"/>
              <w:rPr>
                <w:bCs/>
              </w:rPr>
            </w:pPr>
            <w:r>
              <w:rPr>
                <w:bCs/>
              </w:rPr>
              <w:t xml:space="preserve">ГРЗ В475ОЕ196.</w:t>
            </w:r>
            <w:r/>
          </w:p>
          <w:p>
            <w:pPr>
              <w:pStyle w:val="831"/>
              <w:ind w:firstLine="0"/>
              <w:jc w:val="left"/>
              <w:shd w:val="clear" w:color="auto" w:fill="auto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6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 руб.</w:t>
            </w:r>
            <w:r/>
          </w:p>
        </w:tc>
      </w:tr>
    </w:tbl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20"/>
        <w:rPr>
          <w:highlight w:val="yellow"/>
        </w:rPr>
      </w:pPr>
      <w:r>
        <w:rPr>
          <w:highlight w:val="yellow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>
        <w:trPr>
          <w:trHeight w:val="94"/>
        </w:trPr>
        <w:tc>
          <w:tcPr>
            <w:tcW w:w="467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ПРОДАВЕЦ:</w:t>
            </w:r>
            <w:r/>
          </w:p>
        </w:tc>
        <w:tc>
          <w:tcPr>
            <w:shd w:val="clear" w:color="auto" w:fill="auto"/>
            <w:tcW w:w="4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ПОКУПАТЕЛЬ:</w:t>
            </w:r>
            <w:r/>
          </w:p>
        </w:tc>
      </w:tr>
      <w:tr>
        <w:trPr>
          <w:trHeight w:val="195"/>
        </w:trPr>
        <w:tc>
          <w:tcPr>
            <w:tcW w:w="4675" w:type="dxa"/>
            <w:textDirection w:val="lrTb"/>
            <w:noWrap w:val="false"/>
          </w:tcPr>
          <w:p>
            <w:pPr>
              <w:pStyle w:val="82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Финансовый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управляющий Ник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онова Олега Михайловича (10.07.1973 г.р., адрес: Екатеринбург, ул. Бебеля, д. 118, кв. 42,  ИНН 667107289576, СНИЛС 022-557-742- 43), Теплова Елена Павловна, действующая на основании Решения Арбитражного суда Свердловской области от 14.02.2022 г. по делу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А60-23924/2021</w:t>
            </w:r>
            <w:r/>
          </w:p>
          <w:p>
            <w:pPr>
              <w:pStyle w:val="82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82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Реквизиты для внесения задатка:</w:t>
            </w:r>
            <w:r/>
          </w:p>
          <w:p>
            <w:pPr>
              <w:pStyle w:val="832"/>
              <w:spacing w:before="0" w:beforeAutospacing="0" w:after="0" w:afterAutospacing="0"/>
              <w:widowControl w:val="off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Банк получателя: ФИЛИАЛ "ЦЕНТРАЛЬНЫЙ" ПАО "СОВКОМБАНК" (БЕРДСК)</w:t>
            </w:r>
            <w:r/>
          </w:p>
          <w:p>
            <w:pPr>
              <w:pStyle w:val="833"/>
              <w:spacing w:before="0" w:beforeAutospacing="0" w:after="0" w:afterAutospacing="0"/>
              <w:widowControl w:val="off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Наименование получателя: Никонов Олег Михайлович</w:t>
            </w:r>
            <w:r/>
          </w:p>
          <w:p>
            <w:pPr>
              <w:pStyle w:val="833"/>
              <w:spacing w:before="0" w:beforeAutospacing="0" w:after="0" w:afterAutospacing="0"/>
              <w:widowControl w:val="off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Счет получателя: 40817810850157603347</w:t>
            </w:r>
            <w:r/>
          </w:p>
          <w:p>
            <w:pPr>
              <w:pStyle w:val="833"/>
              <w:spacing w:before="0" w:beforeAutospacing="0" w:after="0" w:afterAutospacing="0"/>
              <w:widowControl w:val="off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Кор/счет банка: 30101810150040000763</w:t>
            </w:r>
            <w:r/>
          </w:p>
          <w:p>
            <w:pPr>
              <w:pStyle w:val="833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  <w:shd w:val="clear" w:color="auto" w:fill="ffffff"/>
              </w:rPr>
              <w:t xml:space="preserve">ИНН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:</w:t>
            </w:r>
            <w:r>
              <w:rPr>
                <w:highlight w:val="white"/>
              </w:rPr>
              <w:t xml:space="preserve">4401116480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33"/>
              <w:spacing w:before="0" w:beforeAutospacing="0" w:after="0" w:afterAutospacing="0"/>
              <w:widowControl w:val="off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БИК: 045004763</w:t>
            </w:r>
            <w:r/>
          </w:p>
          <w:p>
            <w:pPr>
              <w:pStyle w:val="822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auto" w:fill="auto"/>
            <w:tcW w:w="467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2"/>
        </w:trPr>
        <w:tc>
          <w:tcPr>
            <w:tcW w:w="4675" w:type="dxa"/>
            <w:textDirection w:val="lrTb"/>
            <w:noWrap w:val="false"/>
          </w:tcPr>
          <w:p>
            <w:pPr>
              <w:pStyle w:val="8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Финансовый управляющий</w:t>
            </w:r>
            <w:r/>
          </w:p>
          <w:p>
            <w:pPr>
              <w:pStyle w:val="8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8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 Е.П. Теплова</w:t>
            </w:r>
            <w:r/>
          </w:p>
          <w:p>
            <w:pPr>
              <w:ind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67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0"/>
          <w:numId w:val="0"/>
        </w:numPr>
        <w:jc w:val="left"/>
        <w:spacing w:before="0" w:after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  <w:r/>
    </w:p>
    <w:p>
      <w:pPr>
        <w:pStyle w:val="820"/>
        <w:rPr>
          <w:highlight w:val="yellow"/>
        </w:rPr>
      </w:pPr>
      <w:r>
        <w:rPr>
          <w:highlight w:val="yellow"/>
        </w:rPr>
      </w:r>
      <w:r/>
    </w:p>
    <w:p>
      <w:pPr>
        <w:pStyle w:val="820"/>
        <w:rPr>
          <w:highlight w:val="yellow"/>
        </w:rPr>
      </w:pPr>
      <w:r>
        <w:rPr>
          <w:highlight w:val="yellow"/>
        </w:rPr>
      </w:r>
      <w:r/>
    </w:p>
    <w:p>
      <w:pPr>
        <w:pStyle w:val="820"/>
        <w:rPr>
          <w:highlight w:val="yellow"/>
        </w:rPr>
      </w:pPr>
      <w:r>
        <w:rPr>
          <w:highlight w:val="yellow"/>
        </w:rPr>
      </w:r>
      <w:r/>
    </w:p>
    <w:p>
      <w:pPr>
        <w:pStyle w:val="820"/>
        <w:rPr>
          <w:highlight w:val="yellow"/>
        </w:rPr>
      </w:pPr>
      <w:r>
        <w:rPr>
          <w:highlight w:val="yellow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rStyle w:val="825"/>
          <w:sz w:val="22"/>
          <w:szCs w:val="22"/>
        </w:rPr>
        <w:t xml:space="preserve">Приложение №2</w:t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rStyle w:val="825"/>
          <w:sz w:val="22"/>
          <w:szCs w:val="22"/>
        </w:rPr>
        <w:t xml:space="preserve">к договору купли-продажи имущества </w:t>
      </w:r>
      <w:r/>
    </w:p>
    <w:p>
      <w:pPr>
        <w:pStyle w:val="642"/>
        <w:numPr>
          <w:ilvl w:val="2"/>
          <w:numId w:val="2"/>
        </w:numPr>
        <w:ind w:left="0" w:hanging="13"/>
        <w:jc w:val="right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rStyle w:val="825"/>
          <w:sz w:val="22"/>
          <w:szCs w:val="22"/>
        </w:rPr>
        <w:t xml:space="preserve">от __.__.2023г.</w:t>
      </w:r>
      <w:r/>
    </w:p>
    <w:p>
      <w:pPr>
        <w:pStyle w:val="642"/>
        <w:numPr>
          <w:ilvl w:val="2"/>
          <w:numId w:val="2"/>
        </w:numPr>
        <w:ind w:left="0" w:hanging="13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42"/>
        <w:numPr>
          <w:ilvl w:val="2"/>
          <w:numId w:val="2"/>
        </w:numPr>
        <w:ind w:left="0" w:hanging="13"/>
        <w:spacing w:before="0" w:after="0"/>
        <w:tabs>
          <w:tab w:val="num" w:pos="0" w:leader="none"/>
        </w:tabs>
        <w:rPr>
          <w:rStyle w:val="825"/>
          <w:sz w:val="22"/>
          <w:szCs w:val="22"/>
        </w:rPr>
      </w:pPr>
      <w:r>
        <w:rPr>
          <w:rStyle w:val="825"/>
          <w:sz w:val="22"/>
          <w:szCs w:val="22"/>
        </w:rPr>
        <w:t xml:space="preserve">АКТ</w:t>
      </w:r>
      <w:r>
        <w:rPr>
          <w:sz w:val="22"/>
          <w:szCs w:val="22"/>
        </w:rPr>
        <w:br/>
      </w:r>
      <w:r>
        <w:rPr>
          <w:rStyle w:val="825"/>
          <w:sz w:val="22"/>
          <w:szCs w:val="22"/>
        </w:rPr>
        <w:t xml:space="preserve">приема-передачи имущества</w:t>
      </w:r>
      <w:r/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5"/>
        <w:gridCol w:w="3446"/>
      </w:tblGrid>
      <w:tr>
        <w:trPr>
          <w:trHeight w:val="270"/>
          <w:tblHeader/>
        </w:trPr>
        <w:tc>
          <w:tcPr>
            <w:tcW w:w="6335" w:type="dxa"/>
            <w:textDirection w:val="lrTb"/>
            <w:noWrap w:val="false"/>
          </w:tcPr>
          <w:p>
            <w:pPr>
              <w:ind w:hanging="13"/>
              <w:spacing w:after="0" w:line="240" w:lineRule="auto"/>
              <w:rPr>
                <w:rStyle w:val="823"/>
                <w:rFonts w:ascii="Times New Roman" w:hAnsi="Times New Roman"/>
                <w:color w:val="auto"/>
              </w:rPr>
            </w:pPr>
            <w:r/>
            <w:bookmarkStart w:id="5" w:name="linkContainere965B91BA"/>
            <w:r/>
            <w:bookmarkEnd w:id="5"/>
            <w:r>
              <w:rPr>
                <w:rStyle w:val="823"/>
                <w:rFonts w:ascii="Times New Roman" w:hAnsi="Times New Roman"/>
                <w:color w:val="auto"/>
              </w:rPr>
              <w:t xml:space="preserve">г. Санкт-Петербург</w:t>
            </w:r>
            <w:r/>
          </w:p>
        </w:tc>
        <w:tc>
          <w:tcPr>
            <w:tcW w:w="3446" w:type="dxa"/>
            <w:textDirection w:val="lrTb"/>
            <w:noWrap w:val="false"/>
          </w:tcPr>
          <w:p>
            <w:pPr>
              <w:ind w:hanging="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ind w:hanging="13"/>
              <w:spacing w:after="0" w:line="240" w:lineRule="auto"/>
            </w:pPr>
            <w:r>
              <w:rPr>
                <w:rFonts w:ascii="Times New Roman" w:hAnsi="Times New Roman"/>
              </w:rPr>
              <w:t xml:space="preserve">                               __.__.____ г.</w:t>
            </w:r>
            <w:r/>
          </w:p>
        </w:tc>
      </w:tr>
    </w:tbl>
    <w:p>
      <w:pPr>
        <w:ind w:hanging="13"/>
        <w:jc w:val="both"/>
        <w:spacing w:after="0" w:line="240" w:lineRule="auto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  <w:r/>
    </w:p>
    <w:p>
      <w:pPr>
        <w:ind w:hanging="13"/>
        <w:jc w:val="both"/>
        <w:spacing w:after="0" w:line="240" w:lineRule="auto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  <w:bCs/>
        </w:rPr>
        <w:t xml:space="preserve">Финансовый управляющий </w:t>
      </w:r>
      <w:r>
        <w:rPr>
          <w:rFonts w:ascii="Times New Roman" w:hAnsi="Times New Roman"/>
          <w:b/>
          <w:bCs/>
        </w:rPr>
        <w:t xml:space="preserve">Никонова Олега Михайловича (10.07.1973 г.р., адрес: Екатеринбург, ул. Бебеля, д. 118, кв. 42,  ИНН 667107289576, СНИЛС 022-557-742- 43) </w:t>
      </w:r>
      <w:r>
        <w:rPr>
          <w:rFonts w:ascii="Times New Roman" w:hAnsi="Times New Roman"/>
        </w:rPr>
        <w:t xml:space="preserve">Теплова Елена Павловна, действующая на основании Решения Арбитражного суда Свердловской области от 14.02.2022 г. по делу № А60-23924/2021 , далее именуемый – Продавец, с одной стороны,</w:t>
      </w:r>
      <w:r>
        <w:rPr>
          <w:rFonts w:ascii="Times New Roman" w:hAnsi="Times New Roman"/>
        </w:rPr>
        <w:t xml:space="preserve"> и</w:t>
      </w:r>
      <w:r/>
    </w:p>
    <w:p>
      <w:pPr>
        <w:pStyle w:val="822"/>
        <w:jc w:val="both"/>
      </w:pPr>
      <w:r>
        <w:rPr>
          <w:rFonts w:ascii="Times New Roman" w:hAnsi="Times New Roman"/>
          <w:lang w:eastAsia="ru-RU"/>
        </w:rPr>
        <w:t xml:space="preserve">_____________________</w:t>
      </w:r>
      <w:r>
        <w:rPr>
          <w:rFonts w:ascii="Times New Roman" w:hAnsi="Times New Roman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__________________________________________________________________________________________________________________________________________________________________________________________________________________________________________(далее – Покупатель), </w:t>
      </w:r>
      <w:r>
        <w:rPr>
          <w:rFonts w:ascii="Times New Roman" w:hAnsi="Times New Roman"/>
          <w:i/>
          <w:lang w:eastAsia="ru-RU"/>
        </w:rPr>
        <w:t xml:space="preserve">с другой стороны, </w:t>
      </w:r>
      <w:r>
        <w:rPr>
          <w:rFonts w:ascii="Times New Roman" w:hAnsi="Times New Roman"/>
          <w:lang w:eastAsia="ru-RU"/>
        </w:rPr>
        <w:t xml:space="preserve">вместе именуемые "Стороны", заключили настоящий акт к Договору купли-продажи имущества от __.__.2023 г, о нижеследующем:</w:t>
      </w:r>
      <w:r/>
    </w:p>
    <w:p>
      <w:pPr>
        <w:pStyle w:val="824"/>
        <w:ind w:firstLine="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24"/>
        <w:numPr>
          <w:ilvl w:val="0"/>
          <w:numId w:val="3"/>
        </w:numPr>
        <w:ind w:left="0" w:hanging="13"/>
        <w:jc w:val="both"/>
        <w:tabs>
          <w:tab w:val="clear" w:pos="432" w:leader="none"/>
          <w:tab w:val="num" w:pos="92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Продавец в соответствии с настоящим актом передал в собственность Покупателю, а Покупатель принял в свою собственность следующее имущество:</w:t>
      </w:r>
      <w:r/>
    </w:p>
    <w:p>
      <w:pPr>
        <w:pStyle w:val="824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24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3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8" w:type="dxa"/>
            <w:textDirection w:val="lrTb"/>
            <w:noWrap w:val="false"/>
          </w:tcPr>
          <w:p>
            <w:pPr>
              <w:pStyle w:val="822"/>
              <w:rPr>
                <w:rFonts w:ascii="Times New Roman" w:hAnsi="Times New Roman"/>
              </w:rPr>
            </w:pPr>
            <w:r/>
            <w:bookmarkStart w:id="6" w:name="linkContainere9A979E69"/>
            <w:r/>
            <w:bookmarkEnd w:id="6"/>
            <w:r>
              <w:rPr>
                <w:rFonts w:ascii="Times New Roman" w:hAnsi="Times New Roman"/>
              </w:rPr>
              <w:t xml:space="preserve">Наименование имущества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8" w:type="dxa"/>
            <w:textDirection w:val="lrTb"/>
            <w:noWrap w:val="false"/>
          </w:tcPr>
          <w:p>
            <w:pPr>
              <w:pStyle w:val="82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Транспортное средство</w:t>
            </w:r>
            <w:r>
              <w:rPr>
                <w:rFonts w:ascii="Times New Roman" w:hAnsi="Times New Roman"/>
              </w:rPr>
              <w:t xml:space="preserve">:</w:t>
            </w:r>
            <w:r>
              <w:rPr>
                <w:rFonts w:ascii="Times New Roman" w:hAnsi="Times New Roman"/>
                <w:bCs/>
              </w:rPr>
              <w:t xml:space="preserve"> ОПЕЛЬ WOLJ (</w:t>
            </w:r>
            <w:r>
              <w:rPr>
                <w:rFonts w:ascii="Times New Roman" w:hAnsi="Times New Roman"/>
                <w:bCs/>
              </w:rPr>
              <w:t xml:space="preserve">Мокка</w:t>
            </w:r>
            <w:r>
              <w:rPr>
                <w:rFonts w:ascii="Times New Roman" w:hAnsi="Times New Roman"/>
                <w:bCs/>
              </w:rPr>
              <w:t xml:space="preserve">),</w:t>
            </w:r>
            <w:r/>
          </w:p>
          <w:p>
            <w:pPr>
              <w:pStyle w:val="82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2014 </w:t>
            </w:r>
            <w:r>
              <w:rPr>
                <w:rFonts w:ascii="Times New Roman" w:hAnsi="Times New Roman"/>
                <w:bCs/>
              </w:rPr>
              <w:t xml:space="preserve">г.в</w:t>
            </w:r>
            <w:r>
              <w:rPr>
                <w:rFonts w:ascii="Times New Roman" w:hAnsi="Times New Roman"/>
                <w:bCs/>
              </w:rPr>
              <w:t xml:space="preserve">.</w:t>
            </w:r>
            <w:r/>
          </w:p>
          <w:p>
            <w:pPr>
              <w:pStyle w:val="82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VIN: XUUJD7E81E0025294,</w:t>
            </w:r>
            <w:r/>
          </w:p>
          <w:p>
            <w:pPr>
              <w:pStyle w:val="82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Номер кузова (кабины): XUUJD7E81E0025294,</w:t>
            </w:r>
            <w:r/>
          </w:p>
          <w:p>
            <w:pPr>
              <w:pStyle w:val="82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Цвет белый,</w:t>
            </w:r>
            <w:r/>
          </w:p>
          <w:p>
            <w:pPr>
              <w:pStyle w:val="82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Рабочий объем (см³):1364.0,</w:t>
            </w:r>
            <w:r/>
          </w:p>
          <w:p>
            <w:pPr>
              <w:pStyle w:val="82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Мощность (кВт/л.с.): 103/140.04,</w:t>
            </w:r>
            <w:r/>
          </w:p>
          <w:p>
            <w:pPr>
              <w:pStyle w:val="82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ГРЗ В475ОЕ196.</w:t>
            </w:r>
            <w:r/>
          </w:p>
          <w:p>
            <w:pPr>
              <w:pStyle w:val="8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822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</w:tr>
    </w:tbl>
    <w:p>
      <w:pPr>
        <w:pStyle w:val="822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hanging="13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Имущество передано вместе с принадлежностями (сопутствующими документами), относящимися к нему.</w:t>
      </w:r>
      <w:r/>
    </w:p>
    <w:p>
      <w:pPr>
        <w:ind w:hanging="13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Местонахождение: </w:t>
      </w:r>
      <w:r>
        <w:rPr>
          <w:rFonts w:ascii="Times New Roman" w:hAnsi="Times New Roman"/>
        </w:rPr>
        <w:t xml:space="preserve">Екатеринбург, ул. Московская, д. 218 (парковка)</w:t>
      </w:r>
      <w:r/>
    </w:p>
    <w:p>
      <w:pPr>
        <w:ind w:hanging="13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 Покупатель ознакомлен со всеми техническими,</w:t>
      </w:r>
      <w:r>
        <w:rPr>
          <w:rFonts w:ascii="Times New Roman" w:hAnsi="Times New Roman"/>
        </w:rPr>
        <w:t xml:space="preserve"> физическими характеристиками передаваемого имущества, его фактическим состоянием на дату подписания настоящего акта, по результатам осмотра внутренние дефекты отсутствуют, Претензий у Покупателя к Продавцу по переданному имуществу и документам не имеется.</w:t>
      </w:r>
      <w:r/>
    </w:p>
    <w:p>
      <w:pPr>
        <w:pStyle w:val="824"/>
        <w:ind w:hanging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 Подписав настоящий акт, Стороны подтверждают, что обязательства Сторон по приему-передаче имущества по Договору купли-продажи имущества от __.__.2023 года исполнены Сторонами надлежащим образом.</w:t>
      </w:r>
      <w:r/>
    </w:p>
    <w:p>
      <w:pPr>
        <w:pStyle w:val="824"/>
        <w:ind w:hanging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 Настоящий акт подписан в 5 (пяти) подлинных экземплярах на русском языке по одному для каждой из Сторон.</w:t>
      </w:r>
      <w:r/>
    </w:p>
    <w:p>
      <w:pPr>
        <w:pStyle w:val="824"/>
        <w:ind w:hanging="13"/>
        <w:rPr>
          <w:sz w:val="22"/>
          <w:szCs w:val="22"/>
        </w:rPr>
      </w:pPr>
      <w:r>
        <w:rPr>
          <w:sz w:val="22"/>
          <w:szCs w:val="22"/>
        </w:rPr>
        <w:t xml:space="preserve">7. Адреса и реквизиты Сторон:</w:t>
      </w:r>
      <w:r>
        <w:rPr>
          <w:sz w:val="22"/>
          <w:szCs w:val="22"/>
        </w:rPr>
        <w:br/>
      </w:r>
      <w:r/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>
        <w:trPr>
          <w:trHeight w:val="94"/>
        </w:trPr>
        <w:tc>
          <w:tcPr>
            <w:tcW w:w="467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ПРОДАВЕЦ:</w:t>
            </w:r>
            <w:r/>
          </w:p>
        </w:tc>
        <w:tc>
          <w:tcPr>
            <w:shd w:val="clear" w:color="auto" w:fill="auto"/>
            <w:tcW w:w="4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ПОКУПАТЕЛЬ:</w:t>
            </w:r>
            <w:r/>
          </w:p>
        </w:tc>
      </w:tr>
      <w:tr>
        <w:trPr>
          <w:trHeight w:val="195"/>
        </w:trPr>
        <w:tc>
          <w:tcPr>
            <w:tcW w:w="4675" w:type="dxa"/>
            <w:textDirection w:val="lrTb"/>
            <w:noWrap w:val="false"/>
          </w:tcPr>
          <w:p>
            <w:pPr>
              <w:pStyle w:val="82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Финансовый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управляющий Никонова Олега Михайловича (10.07.1973 г.р., адрес: Екатеринбург,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Бебеля, д. 118, кв. 42,  ИНН 667107289576, СНИЛС 022-557-742- 43), Теплова Елена Павловна, действующая на основании Решения Арбитражного суда Свердловской области от 14.02.2022 г. по делу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А60-23924/2021</w:t>
            </w:r>
            <w:r/>
          </w:p>
          <w:p>
            <w:pPr>
              <w:pStyle w:val="82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82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Реквизиты для внесения задатка:</w:t>
            </w:r>
            <w:r/>
          </w:p>
          <w:p>
            <w:pPr>
              <w:pStyle w:val="832"/>
              <w:spacing w:before="0" w:beforeAutospacing="0" w:after="0" w:afterAutospacing="0"/>
              <w:widowControl w:val="off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Банк получателя: ФИЛИАЛ "ЦЕНТРАЛЬНЫЙ" ПАО "СОВКОМБАНК" (БЕРДСК)</w:t>
            </w:r>
            <w:r/>
          </w:p>
          <w:p>
            <w:pPr>
              <w:pStyle w:val="833"/>
              <w:spacing w:before="0" w:beforeAutospacing="0" w:after="0" w:afterAutospacing="0"/>
              <w:widowControl w:val="off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Наименование получателя: Никонов Олег Михайлович</w:t>
            </w:r>
            <w:r/>
          </w:p>
          <w:p>
            <w:pPr>
              <w:pStyle w:val="833"/>
              <w:spacing w:before="0" w:beforeAutospacing="0" w:after="0" w:afterAutospacing="0"/>
              <w:widowControl w:val="off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Счет получателя: 40817810850157603347</w:t>
            </w:r>
            <w:r/>
          </w:p>
          <w:p>
            <w:pPr>
              <w:pStyle w:val="833"/>
              <w:spacing w:before="0" w:beforeAutospacing="0" w:after="0" w:afterAutospacing="0"/>
              <w:widowControl w:val="off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Кор/счет банка: 30101810150040000763</w:t>
            </w:r>
            <w:r/>
          </w:p>
          <w:p>
            <w:pPr>
              <w:pStyle w:val="833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  <w:shd w:val="clear" w:color="auto" w:fill="ffffff"/>
              </w:rPr>
              <w:t xml:space="preserve">ИНН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: </w:t>
            </w:r>
            <w:r>
              <w:rPr>
                <w:highlight w:val="white"/>
              </w:rPr>
              <w:t xml:space="preserve">4401116480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33"/>
              <w:spacing w:before="0" w:beforeAutospacing="0" w:after="0" w:afterAutospacing="0"/>
              <w:widowControl w:val="off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БИК: 045004763</w:t>
            </w:r>
            <w:r/>
          </w:p>
          <w:p>
            <w:pPr>
              <w:pStyle w:val="822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auto" w:fill="auto"/>
            <w:tcW w:w="467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2"/>
        </w:trPr>
        <w:tc>
          <w:tcPr>
            <w:tcW w:w="4675" w:type="dxa"/>
            <w:textDirection w:val="lrTb"/>
            <w:noWrap w:val="false"/>
          </w:tcPr>
          <w:p>
            <w:pPr>
              <w:pStyle w:val="8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Финансовый управляющий</w:t>
            </w:r>
            <w:r/>
          </w:p>
          <w:p>
            <w:pPr>
              <w:pStyle w:val="8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8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 Е.П. Теплова</w:t>
            </w:r>
            <w:r/>
          </w:p>
          <w:p>
            <w:pPr>
              <w:ind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67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rPr>
          <w:color w:val="ff0000"/>
        </w:rPr>
      </w:pPr>
      <w:r>
        <w:rPr>
          <w:color w:val="ff0000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1848" w:hanging="432"/>
        <w:tabs>
          <w:tab w:val="num" w:pos="1416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1992" w:hanging="576"/>
        <w:tabs>
          <w:tab w:val="num" w:pos="1416" w:leader="none"/>
        </w:tabs>
      </w:pPr>
    </w:lvl>
    <w:lvl w:ilvl="2">
      <w:start w:val="1"/>
      <w:numFmt w:val="none"/>
      <w:pStyle w:val="642"/>
      <w:isLgl w:val="false"/>
      <w:suff w:val="nothing"/>
      <w:lvlText w:val=""/>
      <w:lvlJc w:val="left"/>
      <w:pPr>
        <w:ind w:left="2136" w:hanging="720"/>
        <w:tabs>
          <w:tab w:val="num" w:pos="1416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2280" w:hanging="864"/>
        <w:tabs>
          <w:tab w:val="num" w:pos="1416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2424" w:hanging="1008"/>
        <w:tabs>
          <w:tab w:val="num" w:pos="1416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2568" w:hanging="1152"/>
        <w:tabs>
          <w:tab w:val="num" w:pos="1416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2712" w:hanging="1296"/>
        <w:tabs>
          <w:tab w:val="num" w:pos="141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2856" w:hanging="1440"/>
        <w:tabs>
          <w:tab w:val="num" w:pos="1416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3000" w:hanging="1584"/>
        <w:tabs>
          <w:tab w:val="num" w:pos="1416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9"/>
    <w:link w:val="640"/>
    <w:uiPriority w:val="9"/>
    <w:rPr>
      <w:rFonts w:ascii="Arial" w:hAnsi="Arial" w:eastAsia="Arial" w:cs="Arial"/>
      <w:sz w:val="40"/>
      <w:szCs w:val="40"/>
    </w:rPr>
  </w:style>
  <w:style w:type="character" w:styleId="19">
    <w:name w:val="Heading 4 Char"/>
    <w:basedOn w:val="649"/>
    <w:link w:val="643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9"/>
    <w:link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49"/>
    <w:link w:val="645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9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9"/>
    <w:link w:val="647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49"/>
    <w:link w:val="648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9"/>
    <w:link w:val="662"/>
    <w:uiPriority w:val="10"/>
    <w:rPr>
      <w:sz w:val="48"/>
      <w:szCs w:val="48"/>
    </w:rPr>
  </w:style>
  <w:style w:type="character" w:styleId="36">
    <w:name w:val="Subtitle Char"/>
    <w:basedOn w:val="649"/>
    <w:link w:val="664"/>
    <w:uiPriority w:val="11"/>
    <w:rPr>
      <w:sz w:val="24"/>
      <w:szCs w:val="24"/>
    </w:rPr>
  </w:style>
  <w:style w:type="character" w:styleId="38">
    <w:name w:val="Quote Char"/>
    <w:link w:val="666"/>
    <w:uiPriority w:val="29"/>
    <w:rPr>
      <w:i/>
    </w:rPr>
  </w:style>
  <w:style w:type="character" w:styleId="40">
    <w:name w:val="Intense Quote Char"/>
    <w:link w:val="668"/>
    <w:uiPriority w:val="30"/>
    <w:rPr>
      <w:i/>
    </w:rPr>
  </w:style>
  <w:style w:type="character" w:styleId="175">
    <w:name w:val="Footnote Text Char"/>
    <w:link w:val="801"/>
    <w:uiPriority w:val="99"/>
    <w:rPr>
      <w:sz w:val="18"/>
    </w:rPr>
  </w:style>
  <w:style w:type="character" w:styleId="178">
    <w:name w:val="Endnote Text Char"/>
    <w:link w:val="804"/>
    <w:uiPriority w:val="99"/>
    <w:rPr>
      <w:sz w:val="20"/>
    </w:rPr>
  </w:style>
  <w:style w:type="paragraph" w:styleId="639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ar-SA"/>
    </w:rPr>
  </w:style>
  <w:style w:type="paragraph" w:styleId="640">
    <w:name w:val="Heading 1"/>
    <w:basedOn w:val="639"/>
    <w:next w:val="639"/>
    <w:link w:val="65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1">
    <w:name w:val="Heading 2"/>
    <w:basedOn w:val="639"/>
    <w:next w:val="639"/>
    <w:link w:val="818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42">
    <w:name w:val="Heading 3"/>
    <w:basedOn w:val="639"/>
    <w:next w:val="820"/>
    <w:link w:val="819"/>
    <w:qFormat/>
    <w:pPr>
      <w:numPr>
        <w:ilvl w:val="2"/>
        <w:numId w:val="1"/>
      </w:numPr>
      <w:jc w:val="center"/>
      <w:spacing w:before="240" w:after="120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643">
    <w:name w:val="Heading 4"/>
    <w:basedOn w:val="639"/>
    <w:next w:val="639"/>
    <w:link w:val="65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639"/>
    <w:next w:val="639"/>
    <w:link w:val="65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639"/>
    <w:next w:val="639"/>
    <w:link w:val="65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6">
    <w:name w:val="Heading 7"/>
    <w:basedOn w:val="639"/>
    <w:next w:val="639"/>
    <w:link w:val="65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7">
    <w:name w:val="Heading 8"/>
    <w:basedOn w:val="639"/>
    <w:next w:val="639"/>
    <w:link w:val="65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8">
    <w:name w:val="Heading 9"/>
    <w:basedOn w:val="639"/>
    <w:next w:val="639"/>
    <w:link w:val="66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9" w:default="1">
    <w:name w:val="Default Paragraph Font"/>
    <w:uiPriority w:val="1"/>
    <w:unhideWhenUsed/>
  </w:style>
  <w:style w:type="table" w:styleId="6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character" w:styleId="652" w:customStyle="1">
    <w:name w:val="Заголовок 1 Знак"/>
    <w:basedOn w:val="649"/>
    <w:link w:val="640"/>
    <w:uiPriority w:val="9"/>
    <w:rPr>
      <w:rFonts w:ascii="Arial" w:hAnsi="Arial" w:eastAsia="Arial" w:cs="Arial"/>
      <w:sz w:val="40"/>
      <w:szCs w:val="40"/>
    </w:rPr>
  </w:style>
  <w:style w:type="character" w:styleId="653" w:customStyle="1">
    <w:name w:val="Heading 2 Char"/>
    <w:basedOn w:val="649"/>
    <w:uiPriority w:val="9"/>
    <w:rPr>
      <w:rFonts w:ascii="Arial" w:hAnsi="Arial" w:eastAsia="Arial" w:cs="Arial"/>
      <w:sz w:val="34"/>
    </w:rPr>
  </w:style>
  <w:style w:type="character" w:styleId="654" w:customStyle="1">
    <w:name w:val="Heading 3 Char"/>
    <w:basedOn w:val="649"/>
    <w:uiPriority w:val="9"/>
    <w:rPr>
      <w:rFonts w:ascii="Arial" w:hAnsi="Arial" w:eastAsia="Arial" w:cs="Arial"/>
      <w:sz w:val="30"/>
      <w:szCs w:val="30"/>
    </w:rPr>
  </w:style>
  <w:style w:type="character" w:styleId="655" w:customStyle="1">
    <w:name w:val="Заголовок 4 Знак"/>
    <w:basedOn w:val="649"/>
    <w:link w:val="643"/>
    <w:uiPriority w:val="9"/>
    <w:rPr>
      <w:rFonts w:ascii="Arial" w:hAnsi="Arial" w:eastAsia="Arial" w:cs="Arial"/>
      <w:b/>
      <w:bCs/>
      <w:sz w:val="26"/>
      <w:szCs w:val="26"/>
    </w:rPr>
  </w:style>
  <w:style w:type="character" w:styleId="656" w:customStyle="1">
    <w:name w:val="Заголовок 5 Знак"/>
    <w:basedOn w:val="649"/>
    <w:link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57" w:customStyle="1">
    <w:name w:val="Заголовок 6 Знак"/>
    <w:basedOn w:val="649"/>
    <w:link w:val="645"/>
    <w:uiPriority w:val="9"/>
    <w:rPr>
      <w:rFonts w:ascii="Arial" w:hAnsi="Arial" w:eastAsia="Arial" w:cs="Arial"/>
      <w:b/>
      <w:bCs/>
      <w:sz w:val="22"/>
      <w:szCs w:val="22"/>
    </w:rPr>
  </w:style>
  <w:style w:type="character" w:styleId="658" w:customStyle="1">
    <w:name w:val="Заголовок 7 Знак"/>
    <w:basedOn w:val="649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9" w:customStyle="1">
    <w:name w:val="Заголовок 8 Знак"/>
    <w:basedOn w:val="649"/>
    <w:link w:val="647"/>
    <w:uiPriority w:val="9"/>
    <w:rPr>
      <w:rFonts w:ascii="Arial" w:hAnsi="Arial" w:eastAsia="Arial" w:cs="Arial"/>
      <w:i/>
      <w:iCs/>
      <w:sz w:val="22"/>
      <w:szCs w:val="22"/>
    </w:rPr>
  </w:style>
  <w:style w:type="character" w:styleId="660" w:customStyle="1">
    <w:name w:val="Заголовок 9 Знак"/>
    <w:basedOn w:val="649"/>
    <w:link w:val="648"/>
    <w:uiPriority w:val="9"/>
    <w:rPr>
      <w:rFonts w:ascii="Arial" w:hAnsi="Arial" w:eastAsia="Arial" w:cs="Arial"/>
      <w:i/>
      <w:iCs/>
      <w:sz w:val="21"/>
      <w:szCs w:val="21"/>
    </w:rPr>
  </w:style>
  <w:style w:type="paragraph" w:styleId="661">
    <w:name w:val="List Paragraph"/>
    <w:basedOn w:val="639"/>
    <w:uiPriority w:val="34"/>
    <w:qFormat/>
    <w:pPr>
      <w:contextualSpacing/>
      <w:ind w:left="720"/>
    </w:pPr>
  </w:style>
  <w:style w:type="paragraph" w:styleId="662">
    <w:name w:val="Title"/>
    <w:basedOn w:val="639"/>
    <w:next w:val="639"/>
    <w:link w:val="663"/>
    <w:uiPriority w:val="10"/>
    <w:qFormat/>
    <w:pPr>
      <w:contextualSpacing/>
      <w:spacing w:before="300"/>
    </w:pPr>
    <w:rPr>
      <w:sz w:val="48"/>
      <w:szCs w:val="48"/>
    </w:rPr>
  </w:style>
  <w:style w:type="character" w:styleId="663" w:customStyle="1">
    <w:name w:val="Заголовок Знак"/>
    <w:basedOn w:val="649"/>
    <w:link w:val="662"/>
    <w:uiPriority w:val="10"/>
    <w:rPr>
      <w:sz w:val="48"/>
      <w:szCs w:val="48"/>
    </w:rPr>
  </w:style>
  <w:style w:type="paragraph" w:styleId="664">
    <w:name w:val="Subtitle"/>
    <w:basedOn w:val="639"/>
    <w:next w:val="639"/>
    <w:link w:val="665"/>
    <w:uiPriority w:val="11"/>
    <w:qFormat/>
    <w:pPr>
      <w:spacing w:before="200"/>
    </w:pPr>
    <w:rPr>
      <w:sz w:val="24"/>
      <w:szCs w:val="24"/>
    </w:rPr>
  </w:style>
  <w:style w:type="character" w:styleId="665" w:customStyle="1">
    <w:name w:val="Подзаголовок Знак"/>
    <w:basedOn w:val="649"/>
    <w:link w:val="664"/>
    <w:uiPriority w:val="11"/>
    <w:rPr>
      <w:sz w:val="24"/>
      <w:szCs w:val="24"/>
    </w:rPr>
  </w:style>
  <w:style w:type="paragraph" w:styleId="666">
    <w:name w:val="Quote"/>
    <w:basedOn w:val="639"/>
    <w:next w:val="639"/>
    <w:link w:val="667"/>
    <w:uiPriority w:val="29"/>
    <w:qFormat/>
    <w:pPr>
      <w:ind w:left="720" w:right="720"/>
    </w:pPr>
    <w:rPr>
      <w:i/>
    </w:rPr>
  </w:style>
  <w:style w:type="character" w:styleId="667" w:customStyle="1">
    <w:name w:val="Цитата 2 Знак"/>
    <w:link w:val="666"/>
    <w:uiPriority w:val="29"/>
    <w:rPr>
      <w:i/>
    </w:rPr>
  </w:style>
  <w:style w:type="paragraph" w:styleId="668">
    <w:name w:val="Intense Quote"/>
    <w:basedOn w:val="639"/>
    <w:next w:val="639"/>
    <w:link w:val="6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 w:customStyle="1">
    <w:name w:val="Выделенная цитата Знак"/>
    <w:link w:val="668"/>
    <w:uiPriority w:val="30"/>
    <w:rPr>
      <w:i/>
    </w:rPr>
  </w:style>
  <w:style w:type="character" w:styleId="670" w:customStyle="1">
    <w:name w:val="Header Char"/>
    <w:basedOn w:val="649"/>
    <w:uiPriority w:val="99"/>
  </w:style>
  <w:style w:type="character" w:styleId="671" w:customStyle="1">
    <w:name w:val="Footer Char"/>
    <w:basedOn w:val="649"/>
    <w:uiPriority w:val="99"/>
  </w:style>
  <w:style w:type="paragraph" w:styleId="672">
    <w:name w:val="Caption"/>
    <w:basedOn w:val="639"/>
    <w:next w:val="63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73" w:customStyle="1">
    <w:name w:val="Caption Char"/>
    <w:uiPriority w:val="99"/>
  </w:style>
  <w:style w:type="table" w:styleId="674">
    <w:name w:val="Table Grid"/>
    <w:basedOn w:val="65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5" w:customStyle="1">
    <w:name w:val="Table Grid Light"/>
    <w:basedOn w:val="65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6">
    <w:name w:val="Plain Table 1"/>
    <w:basedOn w:val="65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65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 w:customStyle="1">
    <w:name w:val="Grid Table 4 - Accent 1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4" w:customStyle="1">
    <w:name w:val="Grid Table 4 - Accent 2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5" w:customStyle="1">
    <w:name w:val="Grid Table 4 - Accent 3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6" w:customStyle="1">
    <w:name w:val="Grid Table 4 - Accent 4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7" w:customStyle="1">
    <w:name w:val="Grid Table 4 - Accent 5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8" w:customStyle="1">
    <w:name w:val="Grid Table 4 - Accent 6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9">
    <w:name w:val="Grid Table 5 Dark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6">
    <w:name w:val="Grid Table 6 Colorful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7" w:customStyle="1">
    <w:name w:val="Grid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8" w:customStyle="1">
    <w:name w:val="Grid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9" w:customStyle="1">
    <w:name w:val="Grid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0" w:customStyle="1">
    <w:name w:val="Grid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1" w:customStyle="1">
    <w:name w:val="Grid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2" w:customStyle="1">
    <w:name w:val="Grid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3">
    <w:name w:val="Grid Table 7 Colorful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 w:customStyle="1">
    <w:name w:val="Grid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9" w:customStyle="1">
    <w:name w:val="Grid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0">
    <w:name w:val="List Table 1 Light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1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2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3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4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5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6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>
    <w:name w:val="List Table 6 Colorful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6" w:customStyle="1">
    <w:name w:val="List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7" w:customStyle="1">
    <w:name w:val="List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8" w:customStyle="1">
    <w:name w:val="List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9" w:customStyle="1">
    <w:name w:val="List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70" w:customStyle="1">
    <w:name w:val="List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71" w:customStyle="1">
    <w:name w:val="List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72">
    <w:name w:val="List Table 7 Colorful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st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List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Lined - Accent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0" w:customStyle="1">
    <w:name w:val="Lined - Accent 1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1" w:customStyle="1">
    <w:name w:val="Lined - Accent 2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2" w:customStyle="1">
    <w:name w:val="Lined - Accent 3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3" w:customStyle="1">
    <w:name w:val="Lined - Accent 4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4" w:customStyle="1">
    <w:name w:val="Lined - Accent 5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5" w:customStyle="1">
    <w:name w:val="Lined - Accent 6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6" w:customStyle="1">
    <w:name w:val="Bordered &amp; Lined - Accent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7" w:customStyle="1">
    <w:name w:val="Bordered &amp; Lined - Accent 1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8" w:customStyle="1">
    <w:name w:val="Bordered &amp; Lined - Accent 2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9" w:customStyle="1">
    <w:name w:val="Bordered &amp; Lined - Accent 3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0" w:customStyle="1">
    <w:name w:val="Bordered &amp; Lined - Accent 4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1" w:customStyle="1">
    <w:name w:val="Bordered &amp; Lined - Accent 5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2" w:customStyle="1">
    <w:name w:val="Bordered &amp; Lined - Accent 6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3" w:customStyle="1">
    <w:name w:val="Bordered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4" w:customStyle="1">
    <w:name w:val="Bordered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5" w:customStyle="1">
    <w:name w:val="Bordered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6" w:customStyle="1">
    <w:name w:val="Bordered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7" w:customStyle="1">
    <w:name w:val="Bordered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8" w:customStyle="1">
    <w:name w:val="Bordered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9" w:customStyle="1">
    <w:name w:val="Bordered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563c1" w:themeColor="hyperlink"/>
      <w:u w:val="single"/>
    </w:rPr>
  </w:style>
  <w:style w:type="paragraph" w:styleId="801">
    <w:name w:val="footnote text"/>
    <w:basedOn w:val="639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 w:customStyle="1">
    <w:name w:val="Текст сноски Знак"/>
    <w:link w:val="801"/>
    <w:uiPriority w:val="99"/>
    <w:rPr>
      <w:sz w:val="18"/>
    </w:rPr>
  </w:style>
  <w:style w:type="character" w:styleId="803">
    <w:name w:val="footnote reference"/>
    <w:basedOn w:val="649"/>
    <w:uiPriority w:val="99"/>
    <w:unhideWhenUsed/>
    <w:rPr>
      <w:vertAlign w:val="superscript"/>
    </w:rPr>
  </w:style>
  <w:style w:type="paragraph" w:styleId="804">
    <w:name w:val="endnote text"/>
    <w:basedOn w:val="639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 w:customStyle="1">
    <w:name w:val="Текст концевой сноски Знак"/>
    <w:link w:val="804"/>
    <w:uiPriority w:val="99"/>
    <w:rPr>
      <w:sz w:val="20"/>
    </w:rPr>
  </w:style>
  <w:style w:type="character" w:styleId="806">
    <w:name w:val="endnote reference"/>
    <w:basedOn w:val="649"/>
    <w:uiPriority w:val="99"/>
    <w:semiHidden/>
    <w:unhideWhenUsed/>
    <w:rPr>
      <w:vertAlign w:val="superscript"/>
    </w:rPr>
  </w:style>
  <w:style w:type="paragraph" w:styleId="807">
    <w:name w:val="toc 1"/>
    <w:basedOn w:val="639"/>
    <w:next w:val="639"/>
    <w:uiPriority w:val="39"/>
    <w:unhideWhenUsed/>
    <w:pPr>
      <w:spacing w:after="57"/>
    </w:pPr>
  </w:style>
  <w:style w:type="paragraph" w:styleId="808">
    <w:name w:val="toc 2"/>
    <w:basedOn w:val="639"/>
    <w:next w:val="639"/>
    <w:uiPriority w:val="39"/>
    <w:unhideWhenUsed/>
    <w:pPr>
      <w:ind w:left="283"/>
      <w:spacing w:after="57"/>
    </w:pPr>
  </w:style>
  <w:style w:type="paragraph" w:styleId="809">
    <w:name w:val="toc 3"/>
    <w:basedOn w:val="639"/>
    <w:next w:val="639"/>
    <w:uiPriority w:val="39"/>
    <w:unhideWhenUsed/>
    <w:pPr>
      <w:ind w:left="567"/>
      <w:spacing w:after="57"/>
    </w:pPr>
  </w:style>
  <w:style w:type="paragraph" w:styleId="810">
    <w:name w:val="toc 4"/>
    <w:basedOn w:val="639"/>
    <w:next w:val="639"/>
    <w:uiPriority w:val="39"/>
    <w:unhideWhenUsed/>
    <w:pPr>
      <w:ind w:left="850"/>
      <w:spacing w:after="57"/>
    </w:pPr>
  </w:style>
  <w:style w:type="paragraph" w:styleId="811">
    <w:name w:val="toc 5"/>
    <w:basedOn w:val="639"/>
    <w:next w:val="639"/>
    <w:uiPriority w:val="39"/>
    <w:unhideWhenUsed/>
    <w:pPr>
      <w:ind w:left="1134"/>
      <w:spacing w:after="57"/>
    </w:pPr>
  </w:style>
  <w:style w:type="paragraph" w:styleId="812">
    <w:name w:val="toc 6"/>
    <w:basedOn w:val="639"/>
    <w:next w:val="639"/>
    <w:uiPriority w:val="39"/>
    <w:unhideWhenUsed/>
    <w:pPr>
      <w:ind w:left="1417"/>
      <w:spacing w:after="57"/>
    </w:pPr>
  </w:style>
  <w:style w:type="paragraph" w:styleId="813">
    <w:name w:val="toc 7"/>
    <w:basedOn w:val="639"/>
    <w:next w:val="639"/>
    <w:uiPriority w:val="39"/>
    <w:unhideWhenUsed/>
    <w:pPr>
      <w:ind w:left="1701"/>
      <w:spacing w:after="57"/>
    </w:pPr>
  </w:style>
  <w:style w:type="paragraph" w:styleId="814">
    <w:name w:val="toc 8"/>
    <w:basedOn w:val="639"/>
    <w:next w:val="639"/>
    <w:uiPriority w:val="39"/>
    <w:unhideWhenUsed/>
    <w:pPr>
      <w:ind w:left="1984"/>
      <w:spacing w:after="57"/>
    </w:pPr>
  </w:style>
  <w:style w:type="paragraph" w:styleId="815">
    <w:name w:val="toc 9"/>
    <w:basedOn w:val="639"/>
    <w:next w:val="639"/>
    <w:uiPriority w:val="39"/>
    <w:unhideWhenUsed/>
    <w:pPr>
      <w:ind w:left="2268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639"/>
    <w:next w:val="639"/>
    <w:uiPriority w:val="99"/>
    <w:unhideWhenUsed/>
    <w:pPr>
      <w:spacing w:after="0"/>
    </w:pPr>
  </w:style>
  <w:style w:type="character" w:styleId="818" w:customStyle="1">
    <w:name w:val="Заголовок 2 Знак"/>
    <w:basedOn w:val="649"/>
    <w:link w:val="641"/>
    <w:uiPriority w:val="9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styleId="819" w:customStyle="1">
    <w:name w:val="Заголовок 3 Знак"/>
    <w:basedOn w:val="649"/>
    <w:link w:val="642"/>
    <w:rPr>
      <w:rFonts w:ascii="Times New Roman" w:hAnsi="Times New Roman" w:eastAsia="Times New Roman" w:cs="Times New Roman"/>
      <w:b/>
      <w:bCs/>
      <w:sz w:val="27"/>
      <w:szCs w:val="27"/>
      <w:lang w:eastAsia="ar-SA"/>
    </w:rPr>
  </w:style>
  <w:style w:type="paragraph" w:styleId="820">
    <w:name w:val="Body Text"/>
    <w:basedOn w:val="639"/>
    <w:link w:val="821"/>
    <w:pPr>
      <w:spacing w:after="120"/>
    </w:pPr>
  </w:style>
  <w:style w:type="character" w:styleId="821" w:customStyle="1">
    <w:name w:val="Основной текст Знак"/>
    <w:basedOn w:val="649"/>
    <w:link w:val="820"/>
    <w:rPr>
      <w:rFonts w:ascii="Calibri" w:hAnsi="Calibri" w:eastAsia="Times New Roman" w:cs="Times New Roman"/>
      <w:lang w:eastAsia="ar-SA"/>
    </w:rPr>
  </w:style>
  <w:style w:type="paragraph" w:styleId="822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23" w:customStyle="1">
    <w:name w:val="databind"/>
    <w:rPr>
      <w:i/>
      <w:iCs/>
      <w:color w:val="777777"/>
    </w:rPr>
  </w:style>
  <w:style w:type="paragraph" w:styleId="824" w:customStyle="1">
    <w:name w:val="paragraph"/>
    <w:basedOn w:val="639"/>
    <w:pPr>
      <w:ind w:firstLine="567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825">
    <w:name w:val="Strong"/>
    <w:basedOn w:val="649"/>
    <w:qFormat/>
    <w:rPr>
      <w:b/>
      <w:bCs/>
    </w:rPr>
  </w:style>
  <w:style w:type="paragraph" w:styleId="826">
    <w:name w:val="Header"/>
    <w:basedOn w:val="639"/>
    <w:link w:val="82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7" w:customStyle="1">
    <w:name w:val="Верхний колонтитул Знак"/>
    <w:basedOn w:val="649"/>
    <w:link w:val="826"/>
    <w:uiPriority w:val="99"/>
    <w:rPr>
      <w:rFonts w:ascii="Calibri" w:hAnsi="Calibri" w:eastAsia="Times New Roman" w:cs="Times New Roman"/>
      <w:lang w:eastAsia="ar-SA"/>
    </w:rPr>
  </w:style>
  <w:style w:type="paragraph" w:styleId="828">
    <w:name w:val="Footer"/>
    <w:basedOn w:val="639"/>
    <w:link w:val="82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9" w:customStyle="1">
    <w:name w:val="Нижний колонтитул Знак"/>
    <w:basedOn w:val="649"/>
    <w:link w:val="828"/>
    <w:uiPriority w:val="99"/>
    <w:rPr>
      <w:rFonts w:ascii="Calibri" w:hAnsi="Calibri" w:eastAsia="Times New Roman" w:cs="Times New Roman"/>
      <w:lang w:eastAsia="ar-SA"/>
    </w:rPr>
  </w:style>
  <w:style w:type="character" w:styleId="830" w:customStyle="1">
    <w:name w:val="Другое_"/>
    <w:basedOn w:val="649"/>
    <w:link w:val="831"/>
    <w:rPr>
      <w:rFonts w:ascii="Times New Roman" w:hAnsi="Times New Roman" w:eastAsia="Times New Roman" w:cs="Times New Roman"/>
      <w:shd w:val="clear" w:color="auto" w:fill="ffffff"/>
    </w:rPr>
  </w:style>
  <w:style w:type="paragraph" w:styleId="831" w:customStyle="1">
    <w:name w:val="Другое"/>
    <w:basedOn w:val="639"/>
    <w:link w:val="830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/>
      <w:lang w:eastAsia="en-US"/>
    </w:rPr>
  </w:style>
  <w:style w:type="paragraph" w:styleId="832" w:customStyle="1">
    <w:name w:val="docdata"/>
    <w:basedOn w:val="6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33">
    <w:name w:val="Normal (Web)"/>
    <w:basedOn w:val="63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4F9BB-6D41-4156-8E98-51239B61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Гость</dc:creator>
  <cp:keywords/>
  <dc:description/>
  <cp:lastModifiedBy>Вика Улеватая</cp:lastModifiedBy>
  <cp:revision>75</cp:revision>
  <dcterms:created xsi:type="dcterms:W3CDTF">2018-03-27T14:45:00Z</dcterms:created>
  <dcterms:modified xsi:type="dcterms:W3CDTF">2023-07-03T19:52:40Z</dcterms:modified>
</cp:coreProperties>
</file>