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4EBAEA9E" w:rsidR="00EA7238" w:rsidRPr="0000752F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9771B" w:rsidRPr="00844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«Российский аукционный дом»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(ОГРН 1097847233351, ИНН 7838430413, 190000, Санкт-Петербург, пер. Гривцова, д. 5, лит.В, 8(8</w:t>
      </w:r>
      <w:r w:rsidR="000D3E2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) 777-57-57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, доб. 516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69771B" w:rsidRPr="0000752F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 xml:space="preserve">поручения с </w:t>
      </w:r>
      <w:r w:rsidR="00790374" w:rsidRPr="00790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Открытым акционерным обществом «Авиакомпания Бурятские авиалинии»</w:t>
      </w:r>
      <w:r w:rsidR="00790374" w:rsidRPr="00790374">
        <w:rPr>
          <w:rFonts w:ascii="Times New Roman" w:hAnsi="Times New Roman" w:cs="Times New Roman"/>
          <w:color w:val="000000"/>
          <w:sz w:val="24"/>
          <w:szCs w:val="24"/>
        </w:rPr>
        <w:t xml:space="preserve"> (ИНН 0326006689, ОГРН 1020300963759, юридический адрес: 670018, Республика Бурятия, город Улан-Удэ, п. Аэропорт д. 10), именуемое в дальнейшем «Должник», в лице конкурсного управляющего </w:t>
      </w:r>
      <w:r w:rsidR="00790374" w:rsidRPr="007903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Лишай Андрея Павловича</w:t>
      </w:r>
      <w:r w:rsidR="00790374" w:rsidRPr="00790374">
        <w:rPr>
          <w:rFonts w:ascii="Times New Roman" w:hAnsi="Times New Roman" w:cs="Times New Roman"/>
          <w:color w:val="000000"/>
          <w:sz w:val="24"/>
          <w:szCs w:val="24"/>
        </w:rPr>
        <w:t xml:space="preserve"> (ИНН 502985902968, СНИЛС 182-135-414 45, адрес для направления корреспонденции: 680000, а/я 180, г. Хабаровск, тел. +79141527111, электронная почта Andrey11112@yandex.ru), член Ассоциации саморегулируемой организации арбитражных управляющих «Эгида» (ИНН 5836141204, ОГРН 1105800001526, 170100, обл Тверская, г. Тверь, б-р Радищева, д.11, оф. 17, Тел.: 8 (916) 999-91-01. Email: info@egida-sro.ru), действующего на основании Определения Арбитражного суда Республики Бурятия от 14.11.2019</w:t>
      </w:r>
      <w:r w:rsidR="008C3D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374" w:rsidRPr="00790374">
        <w:rPr>
          <w:rFonts w:ascii="Times New Roman" w:hAnsi="Times New Roman" w:cs="Times New Roman"/>
          <w:color w:val="000000"/>
          <w:sz w:val="24"/>
          <w:szCs w:val="24"/>
        </w:rPr>
        <w:t>г. по делу № А10-737/2017</w:t>
      </w:r>
      <w:r w:rsidR="0079037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</w:t>
      </w:r>
      <w:r w:rsidR="009155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00752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(далее - Торги).</w:t>
      </w:r>
    </w:p>
    <w:p w14:paraId="71CF15C0" w14:textId="77E9CE1B" w:rsidR="00EA7238" w:rsidRPr="0000752F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имущество</w:t>
      </w:r>
      <w:r w:rsidR="00790374">
        <w:rPr>
          <w:rFonts w:ascii="Times New Roman" w:hAnsi="Times New Roman" w:cs="Times New Roman"/>
          <w:color w:val="000000"/>
          <w:sz w:val="24"/>
          <w:szCs w:val="24"/>
        </w:rPr>
        <w:t xml:space="preserve"> Должника, </w:t>
      </w:r>
      <w:r w:rsidR="00790374" w:rsidRPr="00790374">
        <w:rPr>
          <w:rFonts w:ascii="Times New Roman" w:hAnsi="Times New Roman" w:cs="Times New Roman"/>
          <w:color w:val="000000"/>
          <w:sz w:val="24"/>
          <w:szCs w:val="24"/>
        </w:rPr>
        <w:t>находяще</w:t>
      </w:r>
      <w:r w:rsidR="00790374">
        <w:rPr>
          <w:rFonts w:ascii="Times New Roman" w:hAnsi="Times New Roman" w:cs="Times New Roman"/>
          <w:color w:val="000000"/>
          <w:sz w:val="24"/>
          <w:szCs w:val="24"/>
        </w:rPr>
        <w:t>еся</w:t>
      </w:r>
      <w:r w:rsidR="00790374" w:rsidRPr="00790374">
        <w:rPr>
          <w:rFonts w:ascii="Times New Roman" w:hAnsi="Times New Roman" w:cs="Times New Roman"/>
          <w:color w:val="000000"/>
          <w:sz w:val="24"/>
          <w:szCs w:val="24"/>
        </w:rPr>
        <w:t xml:space="preserve"> в залоге у </w:t>
      </w:r>
      <w:r w:rsidR="0091557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90374" w:rsidRPr="00790374">
        <w:rPr>
          <w:rFonts w:ascii="Times New Roman" w:hAnsi="Times New Roman" w:cs="Times New Roman"/>
          <w:color w:val="000000"/>
          <w:sz w:val="24"/>
          <w:szCs w:val="24"/>
        </w:rPr>
        <w:t>бщества с ограниченной ответственностью Коммерческий банк «Финансовый стандарт» (далее – «Залоговый кредитор»)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08267B4" w14:textId="1F0A1A5D" w:rsidR="00467D6B" w:rsidRPr="00790374" w:rsidRDefault="006A6740" w:rsidP="007903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1 </w:t>
      </w:r>
      <w:r w:rsidR="007A17E4" w:rsidRPr="00431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4316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0374" w:rsidRPr="00790374">
        <w:rPr>
          <w:rFonts w:ascii="Times New Roman" w:hAnsi="Times New Roman" w:cs="Times New Roman"/>
          <w:color w:val="000000" w:themeColor="text1"/>
          <w:sz w:val="24"/>
          <w:szCs w:val="24"/>
        </w:rPr>
        <w:t>Вертолет типа МИ-8Т,  характеристики: бортовой номер: RA-24200; серийный номер 98728998; двигатель левый ТВ2-117АГ, заводской номер С91411095, дата изготовления 31.10.1981г, ; двигатель правый ТВ2-117А, заводской номер С93411260, дата изготовления 25.12.1983г.; предприятие производитель: п/я Р6759 (г. Улан-Удэ); дата производства 31.01.1987г.</w:t>
      </w:r>
      <w:r w:rsidR="00790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0374" w:rsidRPr="004977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Начальная цена</w:t>
      </w:r>
      <w:r w:rsidR="00790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500 000 (пятьсот тысяч) руб. 00 коп.</w:t>
      </w:r>
    </w:p>
    <w:p w14:paraId="15D12F19" w14:textId="5FC152F5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00752F">
        <w:rPr>
          <w:rFonts w:ascii="Times New Roman CYR" w:hAnsi="Times New Roman CYR" w:cs="Times New Roman CYR"/>
          <w:color w:val="000000"/>
        </w:rPr>
        <w:t>С подробной информацией о лот</w:t>
      </w:r>
      <w:r w:rsidR="00514631">
        <w:rPr>
          <w:rFonts w:ascii="Times New Roman CYR" w:hAnsi="Times New Roman CYR" w:cs="Times New Roman CYR"/>
          <w:color w:val="000000"/>
        </w:rPr>
        <w:t>е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>можно ознакомиться на сайте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 xml:space="preserve">ОТ </w:t>
      </w:r>
      <w:hyperlink r:id="rId7" w:history="1">
        <w:r w:rsidR="002A15DF" w:rsidRPr="00DD6BC6">
          <w:rPr>
            <w:rStyle w:val="a4"/>
          </w:rPr>
          <w:t>http://www.auction-house.ru/</w:t>
        </w:r>
      </w:hyperlink>
      <w:r w:rsidR="002A15DF" w:rsidRPr="00DD6BC6">
        <w:t>, ЕФРСБ (</w:t>
      </w:r>
      <w:hyperlink r:id="rId8" w:history="1">
        <w:r w:rsidR="002A15DF" w:rsidRPr="00DD6BC6">
          <w:rPr>
            <w:rStyle w:val="a4"/>
          </w:rPr>
          <w:t>http://fedresurs.ru/</w:t>
        </w:r>
      </w:hyperlink>
      <w:r w:rsidR="002A15DF" w:rsidRPr="00DD6BC6">
        <w:t xml:space="preserve">) и </w:t>
      </w:r>
      <w:r w:rsidR="00790374">
        <w:t xml:space="preserve">на электронной торговой </w:t>
      </w:r>
      <w:r w:rsidR="00497762" w:rsidRPr="00497762">
        <w:t xml:space="preserve">площадке АО «Российский аукционный дом» по адресу: http://lot-online.ru (далее – ЭТП). </w:t>
      </w:r>
    </w:p>
    <w:p w14:paraId="1508893B" w14:textId="454D2E3C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00752F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6A6740" w:rsidRPr="0000752F">
        <w:rPr>
          <w:rFonts w:ascii="Times New Roman CYR" w:hAnsi="Times New Roman CYR" w:cs="Times New Roman CYR"/>
          <w:color w:val="000000"/>
        </w:rPr>
        <w:t xml:space="preserve"> 5 (Пять) </w:t>
      </w:r>
      <w:r w:rsidRPr="0000752F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7226D5AB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00752F">
        <w:rPr>
          <w:color w:val="000000"/>
        </w:rPr>
        <w:t xml:space="preserve"> будут проведены в </w:t>
      </w:r>
      <w:r w:rsidR="00E6462F">
        <w:rPr>
          <w:color w:val="000000"/>
          <w:highlight w:val="yellow"/>
        </w:rPr>
        <w:t>09</w:t>
      </w:r>
      <w:r w:rsidRPr="007707B8">
        <w:rPr>
          <w:color w:val="000000"/>
          <w:highlight w:val="yellow"/>
        </w:rPr>
        <w:t>:</w:t>
      </w:r>
      <w:r w:rsidRPr="002E1E73">
        <w:rPr>
          <w:color w:val="000000"/>
          <w:highlight w:val="yellow"/>
        </w:rPr>
        <w:t>00</w:t>
      </w:r>
      <w:r w:rsidRPr="0000752F">
        <w:rPr>
          <w:color w:val="000000"/>
        </w:rPr>
        <w:t xml:space="preserve"> часов по московскому времени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497762">
        <w:rPr>
          <w:rFonts w:ascii="Times New Roman CYR" w:hAnsi="Times New Roman CYR" w:cs="Times New Roman CYR"/>
          <w:b/>
          <w:bCs/>
          <w:color w:val="000000"/>
          <w:highlight w:val="yellow"/>
        </w:rPr>
        <w:t>04 августа</w:t>
      </w:r>
      <w:r w:rsidR="00E12685" w:rsidRPr="007707B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130BFB" w:rsidRPr="007707B8">
        <w:rPr>
          <w:b/>
          <w:highlight w:val="yellow"/>
        </w:rPr>
        <w:t>202</w:t>
      </w:r>
      <w:r w:rsidR="00497762">
        <w:rPr>
          <w:b/>
          <w:highlight w:val="yellow"/>
        </w:rPr>
        <w:t>3</w:t>
      </w:r>
      <w:r w:rsidR="00564010" w:rsidRPr="007707B8">
        <w:rPr>
          <w:b/>
          <w:highlight w:val="yellow"/>
        </w:rPr>
        <w:t xml:space="preserve"> г</w:t>
      </w:r>
      <w:r w:rsidR="00C11EFF" w:rsidRPr="0000752F">
        <w:rPr>
          <w:b/>
        </w:rPr>
        <w:t>.</w:t>
      </w:r>
      <w:r w:rsidR="00467D6B" w:rsidRPr="0000752F">
        <w:t xml:space="preserve"> </w:t>
      </w:r>
      <w:r w:rsidRPr="0000752F">
        <w:rPr>
          <w:rFonts w:ascii="Times New Roman CYR" w:hAnsi="Times New Roman CYR" w:cs="Times New Roman CYR"/>
          <w:color w:val="000000"/>
        </w:rPr>
        <w:t xml:space="preserve">на </w:t>
      </w:r>
      <w:r w:rsidR="00C11EFF" w:rsidRPr="0000752F">
        <w:rPr>
          <w:color w:val="000000"/>
        </w:rPr>
        <w:t>ЭТП</w:t>
      </w:r>
      <w:r w:rsidRPr="0000752F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Время окончания Торгов:</w:t>
      </w:r>
    </w:p>
    <w:p w14:paraId="5227E954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2A4737F4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В случае, если по итогам Торгов, назначенных </w:t>
      </w:r>
      <w:r w:rsidRPr="007707B8">
        <w:rPr>
          <w:color w:val="000000"/>
          <w:highlight w:val="yellow"/>
        </w:rPr>
        <w:t>на</w:t>
      </w:r>
      <w:r w:rsidR="00C11EFF" w:rsidRPr="007707B8">
        <w:rPr>
          <w:color w:val="000000"/>
          <w:highlight w:val="yellow"/>
        </w:rPr>
        <w:t xml:space="preserve"> </w:t>
      </w:r>
      <w:r w:rsidR="00497762" w:rsidRPr="00497762">
        <w:rPr>
          <w:color w:val="000000"/>
          <w:highlight w:val="yellow"/>
        </w:rPr>
        <w:t>04 августа 2023</w:t>
      </w:r>
      <w:r w:rsidR="006A6740" w:rsidRPr="00497762">
        <w:rPr>
          <w:color w:val="000000"/>
          <w:highlight w:val="yellow"/>
        </w:rPr>
        <w:t xml:space="preserve"> г.</w:t>
      </w:r>
      <w:r w:rsidRPr="00497762">
        <w:rPr>
          <w:color w:val="000000"/>
          <w:highlight w:val="yellow"/>
        </w:rPr>
        <w:t>,</w:t>
      </w:r>
      <w:r w:rsidRPr="0000752F">
        <w:rPr>
          <w:color w:val="000000"/>
        </w:rPr>
        <w:t xml:space="preserve"> лот не реализован, то </w:t>
      </w:r>
      <w:r w:rsidRPr="007707B8">
        <w:rPr>
          <w:color w:val="000000"/>
          <w:highlight w:val="yellow"/>
        </w:rPr>
        <w:t xml:space="preserve">в </w:t>
      </w:r>
      <w:r w:rsidR="00E6462F">
        <w:rPr>
          <w:color w:val="000000"/>
          <w:highlight w:val="yellow"/>
        </w:rPr>
        <w:t>09</w:t>
      </w:r>
      <w:r w:rsidRPr="007707B8">
        <w:rPr>
          <w:color w:val="000000"/>
          <w:highlight w:val="yellow"/>
        </w:rPr>
        <w:t>:00</w:t>
      </w:r>
      <w:r w:rsidRPr="0000752F">
        <w:rPr>
          <w:color w:val="000000"/>
        </w:rPr>
        <w:t xml:space="preserve"> часов по московскому </w:t>
      </w:r>
      <w:r w:rsidRPr="007707B8">
        <w:rPr>
          <w:color w:val="000000"/>
          <w:highlight w:val="yellow"/>
        </w:rPr>
        <w:t xml:space="preserve">времени </w:t>
      </w:r>
      <w:r w:rsidR="002E1E73" w:rsidRPr="002E1E73">
        <w:rPr>
          <w:b/>
          <w:bCs/>
          <w:color w:val="000000"/>
          <w:highlight w:val="yellow"/>
        </w:rPr>
        <w:t>0</w:t>
      </w:r>
      <w:r w:rsidR="00497762">
        <w:rPr>
          <w:b/>
          <w:bCs/>
          <w:color w:val="000000"/>
          <w:highlight w:val="yellow"/>
        </w:rPr>
        <w:t>2</w:t>
      </w:r>
      <w:r w:rsidR="00021E24" w:rsidRPr="007707B8">
        <w:rPr>
          <w:b/>
          <w:bCs/>
          <w:color w:val="000000"/>
          <w:highlight w:val="yellow"/>
        </w:rPr>
        <w:t xml:space="preserve"> </w:t>
      </w:r>
      <w:r w:rsidR="00497762">
        <w:rPr>
          <w:b/>
          <w:bCs/>
          <w:color w:val="000000"/>
          <w:highlight w:val="yellow"/>
        </w:rPr>
        <w:t>октября</w:t>
      </w:r>
      <w:r w:rsidR="00E12685" w:rsidRPr="007707B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7707B8">
        <w:rPr>
          <w:b/>
          <w:highlight w:val="yellow"/>
        </w:rPr>
        <w:t>202</w:t>
      </w:r>
      <w:r w:rsidR="00BC3D39">
        <w:rPr>
          <w:b/>
          <w:highlight w:val="yellow"/>
        </w:rPr>
        <w:t>3</w:t>
      </w:r>
      <w:r w:rsidR="00E12685" w:rsidRPr="007707B8">
        <w:rPr>
          <w:b/>
          <w:highlight w:val="yellow"/>
        </w:rPr>
        <w:t xml:space="preserve"> г.</w:t>
      </w:r>
      <w:r w:rsidR="00467D6B" w:rsidRPr="007707B8">
        <w:rPr>
          <w:highlight w:val="yellow"/>
        </w:rPr>
        <w:t xml:space="preserve"> </w:t>
      </w:r>
      <w:r w:rsidRPr="007707B8">
        <w:rPr>
          <w:color w:val="000000"/>
          <w:highlight w:val="yellow"/>
        </w:rPr>
        <w:t>на</w:t>
      </w:r>
      <w:r w:rsidRPr="0000752F">
        <w:rPr>
          <w:color w:val="000000"/>
        </w:rPr>
        <w:t xml:space="preserve"> </w:t>
      </w:r>
      <w:r w:rsidR="00C11EFF" w:rsidRPr="0000752F">
        <w:rPr>
          <w:color w:val="000000"/>
        </w:rPr>
        <w:t>ЭТП</w:t>
      </w:r>
      <w:r w:rsidR="00467D6B" w:rsidRPr="0000752F">
        <w:t xml:space="preserve"> </w:t>
      </w:r>
      <w:r w:rsidRPr="0000752F">
        <w:rPr>
          <w:color w:val="000000"/>
        </w:rPr>
        <w:t>будут проведены</w:t>
      </w:r>
      <w:r w:rsidRPr="0000752F">
        <w:rPr>
          <w:b/>
          <w:bCs/>
          <w:color w:val="000000"/>
        </w:rPr>
        <w:t xml:space="preserve"> повторные Торги </w:t>
      </w:r>
      <w:r w:rsidRPr="0000752F">
        <w:rPr>
          <w:color w:val="000000"/>
        </w:rPr>
        <w:t>со снижением начальной цены лотов на 10 (Десять) процентов.</w:t>
      </w:r>
    </w:p>
    <w:p w14:paraId="0C700AC8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Оператор </w:t>
      </w:r>
      <w:r w:rsidR="00F05E04" w:rsidRPr="0000752F">
        <w:rPr>
          <w:color w:val="000000"/>
        </w:rPr>
        <w:t>ЭТП</w:t>
      </w:r>
      <w:r w:rsidRPr="0000752F">
        <w:rPr>
          <w:color w:val="000000"/>
        </w:rPr>
        <w:t xml:space="preserve"> (далее – Оператор) обеспечивает проведение Торгов.</w:t>
      </w:r>
    </w:p>
    <w:p w14:paraId="2085F9E1" w14:textId="2049F2DC" w:rsidR="00E6462F" w:rsidRPr="0000752F" w:rsidRDefault="00EA7238" w:rsidP="00E646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Прием Оператором заявок и предложений о цене приобретения имущества на участие в первых Торгах начинается в </w:t>
      </w:r>
      <w:r w:rsidRPr="00442148">
        <w:rPr>
          <w:color w:val="000000"/>
          <w:highlight w:val="yellow"/>
        </w:rPr>
        <w:t>00:</w:t>
      </w:r>
      <w:r w:rsidR="00997993" w:rsidRPr="00442148">
        <w:rPr>
          <w:color w:val="000000"/>
          <w:highlight w:val="yellow"/>
        </w:rPr>
        <w:t>00</w:t>
      </w:r>
      <w:r w:rsidRPr="0000752F">
        <w:rPr>
          <w:color w:val="000000"/>
        </w:rPr>
        <w:t xml:space="preserve"> часов по московскому времени</w:t>
      </w:r>
      <w:r w:rsidR="00E12685" w:rsidRPr="0000752F">
        <w:rPr>
          <w:color w:val="000000"/>
        </w:rPr>
        <w:t xml:space="preserve"> </w:t>
      </w:r>
      <w:r w:rsidR="00497762">
        <w:rPr>
          <w:b/>
          <w:bCs/>
          <w:color w:val="000000"/>
          <w:highlight w:val="yellow"/>
        </w:rPr>
        <w:t>26 июня</w:t>
      </w:r>
      <w:r w:rsidR="00E12685" w:rsidRPr="0044214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497762">
        <w:rPr>
          <w:b/>
          <w:highlight w:val="yellow"/>
        </w:rPr>
        <w:t>3</w:t>
      </w:r>
      <w:r w:rsidR="00E12685" w:rsidRPr="0000752F">
        <w:rPr>
          <w:b/>
        </w:rPr>
        <w:t xml:space="preserve"> г.</w:t>
      </w:r>
      <w:r w:rsidRPr="0000752F">
        <w:rPr>
          <w:color w:val="000000"/>
        </w:rPr>
        <w:t xml:space="preserve">, а на участие в повторных Торгах начинается в </w:t>
      </w:r>
      <w:r w:rsidRPr="00442148">
        <w:rPr>
          <w:color w:val="000000"/>
          <w:highlight w:val="yellow"/>
        </w:rPr>
        <w:t>00:</w:t>
      </w:r>
      <w:r w:rsidR="00997993" w:rsidRPr="00442148">
        <w:rPr>
          <w:color w:val="000000"/>
          <w:highlight w:val="yellow"/>
        </w:rPr>
        <w:t>00</w:t>
      </w:r>
      <w:r w:rsidRPr="0000752F">
        <w:rPr>
          <w:color w:val="000000"/>
        </w:rPr>
        <w:t xml:space="preserve"> часов по московскому времени </w:t>
      </w:r>
      <w:r w:rsidR="00497762">
        <w:rPr>
          <w:b/>
          <w:bCs/>
          <w:color w:val="000000"/>
          <w:highlight w:val="yellow"/>
        </w:rPr>
        <w:t>22 августа</w:t>
      </w:r>
      <w:r w:rsidR="00E12685" w:rsidRPr="0044214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6A6740" w:rsidRPr="00442148">
        <w:rPr>
          <w:b/>
          <w:highlight w:val="yellow"/>
        </w:rPr>
        <w:t>2</w:t>
      </w:r>
      <w:r w:rsidR="00E12685" w:rsidRPr="0000752F">
        <w:rPr>
          <w:b/>
        </w:rPr>
        <w:t>г.</w:t>
      </w:r>
      <w:r w:rsidRPr="0000752F">
        <w:rPr>
          <w:color w:val="000000"/>
        </w:rPr>
        <w:t xml:space="preserve"> Прием заявок на участие в </w:t>
      </w:r>
      <w:r w:rsidR="00E6462F">
        <w:rPr>
          <w:color w:val="000000"/>
        </w:rPr>
        <w:t xml:space="preserve">первых </w:t>
      </w:r>
      <w:r w:rsidRPr="0000752F">
        <w:rPr>
          <w:color w:val="000000"/>
        </w:rPr>
        <w:t xml:space="preserve">Торгах и задатков прекращается в </w:t>
      </w:r>
      <w:r w:rsidR="00497762">
        <w:rPr>
          <w:color w:val="000000"/>
          <w:highlight w:val="yellow"/>
        </w:rPr>
        <w:t>09</w:t>
      </w:r>
      <w:r w:rsidRPr="00442148">
        <w:rPr>
          <w:color w:val="000000"/>
          <w:highlight w:val="yellow"/>
        </w:rPr>
        <w:t>:00</w:t>
      </w:r>
      <w:r w:rsidRPr="0000752F">
        <w:rPr>
          <w:color w:val="000000"/>
        </w:rPr>
        <w:t xml:space="preserve"> часов по московскому времени </w:t>
      </w:r>
      <w:r w:rsidR="00497762">
        <w:rPr>
          <w:color w:val="000000"/>
          <w:highlight w:val="yellow"/>
        </w:rPr>
        <w:t>31 июля</w:t>
      </w:r>
      <w:r w:rsidR="00E6462F" w:rsidRPr="002E1E73">
        <w:rPr>
          <w:color w:val="000000"/>
          <w:highlight w:val="yellow"/>
        </w:rPr>
        <w:t xml:space="preserve"> 202</w:t>
      </w:r>
      <w:r w:rsidR="00497762">
        <w:rPr>
          <w:color w:val="000000"/>
          <w:highlight w:val="yellow"/>
        </w:rPr>
        <w:t>3</w:t>
      </w:r>
      <w:r w:rsidR="00E6462F" w:rsidRPr="002E1E73">
        <w:rPr>
          <w:color w:val="000000"/>
          <w:highlight w:val="yellow"/>
        </w:rPr>
        <w:t xml:space="preserve"> г</w:t>
      </w:r>
      <w:r w:rsidR="00E6462F">
        <w:rPr>
          <w:color w:val="000000"/>
        </w:rPr>
        <w:t xml:space="preserve">. </w:t>
      </w:r>
      <w:r w:rsidR="00E6462F" w:rsidRPr="0000752F">
        <w:rPr>
          <w:color w:val="000000"/>
        </w:rPr>
        <w:t xml:space="preserve">Прием заявок на участие в </w:t>
      </w:r>
      <w:r w:rsidR="00E6462F">
        <w:rPr>
          <w:color w:val="000000"/>
        </w:rPr>
        <w:t xml:space="preserve">повторных </w:t>
      </w:r>
      <w:r w:rsidR="00E6462F" w:rsidRPr="0000752F">
        <w:rPr>
          <w:color w:val="000000"/>
        </w:rPr>
        <w:t xml:space="preserve">Торгах и задатков прекращается в </w:t>
      </w:r>
      <w:r w:rsidR="00497762">
        <w:rPr>
          <w:color w:val="000000"/>
          <w:highlight w:val="yellow"/>
        </w:rPr>
        <w:t>09</w:t>
      </w:r>
      <w:r w:rsidR="00E6462F" w:rsidRPr="00442148">
        <w:rPr>
          <w:color w:val="000000"/>
          <w:highlight w:val="yellow"/>
        </w:rPr>
        <w:t>:00</w:t>
      </w:r>
      <w:r w:rsidR="00E6462F" w:rsidRPr="0000752F">
        <w:rPr>
          <w:color w:val="000000"/>
        </w:rPr>
        <w:t xml:space="preserve"> часов по московскому времени </w:t>
      </w:r>
      <w:r w:rsidR="002E1E73">
        <w:rPr>
          <w:color w:val="000000"/>
          <w:highlight w:val="yellow"/>
        </w:rPr>
        <w:t>26</w:t>
      </w:r>
      <w:r w:rsidR="00E6462F" w:rsidRPr="002E1E73">
        <w:rPr>
          <w:color w:val="000000"/>
          <w:highlight w:val="yellow"/>
        </w:rPr>
        <w:t xml:space="preserve"> </w:t>
      </w:r>
      <w:r w:rsidR="00497762">
        <w:rPr>
          <w:color w:val="000000"/>
          <w:highlight w:val="yellow"/>
        </w:rPr>
        <w:t>сентября</w:t>
      </w:r>
      <w:r w:rsidR="00E6462F" w:rsidRPr="002E1E73">
        <w:rPr>
          <w:color w:val="000000"/>
          <w:highlight w:val="yellow"/>
        </w:rPr>
        <w:t xml:space="preserve"> 2023 г.</w:t>
      </w:r>
    </w:p>
    <w:p w14:paraId="42966774" w14:textId="6078024B" w:rsidR="00EA7238" w:rsidRPr="0000752F" w:rsidRDefault="009155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color w:val="000000"/>
        </w:rPr>
        <w:t xml:space="preserve">Если в течение 30 (тридцати) календарных дней со дня признания повторных Торгов несостоявшимися Залоговый кредитор не воспользуется правом оставить </w:t>
      </w:r>
      <w:r w:rsidR="00C52FEB">
        <w:rPr>
          <w:color w:val="000000"/>
        </w:rPr>
        <w:t>и</w:t>
      </w:r>
      <w:r>
        <w:rPr>
          <w:color w:val="000000"/>
        </w:rPr>
        <w:t xml:space="preserve">мущество за собой либо до истечения указанного срока откажется от оставления имущества за собой, </w:t>
      </w:r>
      <w:r w:rsidR="00C52FEB">
        <w:rPr>
          <w:color w:val="000000"/>
        </w:rPr>
        <w:t>и</w:t>
      </w:r>
      <w:r>
        <w:rPr>
          <w:color w:val="000000"/>
        </w:rPr>
        <w:t xml:space="preserve">мущество подлежит продаже  </w:t>
      </w:r>
      <w:r w:rsidRPr="0000752F">
        <w:rPr>
          <w:color w:val="000000"/>
        </w:rPr>
        <w:t>на торг</w:t>
      </w:r>
      <w:r>
        <w:rPr>
          <w:color w:val="000000"/>
        </w:rPr>
        <w:t>ах</w:t>
      </w:r>
      <w:r w:rsidRPr="0000752F">
        <w:rPr>
          <w:color w:val="000000"/>
        </w:rPr>
        <w:t xml:space="preserve"> в электронной форме посредством публичного предложения (далее - Торги ППП)</w:t>
      </w:r>
      <w:r>
        <w:rPr>
          <w:color w:val="000000"/>
        </w:rPr>
        <w:t xml:space="preserve"> в соответствии с </w:t>
      </w:r>
      <w:r w:rsidR="00EA7238" w:rsidRPr="0000752F">
        <w:rPr>
          <w:color w:val="000000"/>
        </w:rPr>
        <w:t>п. 4 ст. 139 Федерального закона № 127-ФЗ «О несостоятельности (банкротстве)»</w:t>
      </w:r>
      <w:r>
        <w:rPr>
          <w:color w:val="000000"/>
        </w:rPr>
        <w:t>.</w:t>
      </w:r>
    </w:p>
    <w:p w14:paraId="1F0B96CC" w14:textId="1BD47EED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0752F">
        <w:rPr>
          <w:b/>
          <w:bCs/>
          <w:color w:val="000000"/>
        </w:rPr>
        <w:t>Торги ППП</w:t>
      </w:r>
      <w:r w:rsidR="00C11EFF" w:rsidRPr="0000752F">
        <w:rPr>
          <w:color w:val="000000"/>
          <w:shd w:val="clear" w:color="auto" w:fill="FFFFFF"/>
        </w:rPr>
        <w:t xml:space="preserve"> будут проведены на ЭТП</w:t>
      </w:r>
      <w:r w:rsidRPr="0000752F">
        <w:rPr>
          <w:color w:val="000000"/>
          <w:shd w:val="clear" w:color="auto" w:fill="FFFFFF"/>
        </w:rPr>
        <w:t xml:space="preserve"> </w:t>
      </w:r>
      <w:r w:rsidRPr="00442148">
        <w:rPr>
          <w:b/>
          <w:bCs/>
          <w:color w:val="000000"/>
          <w:highlight w:val="yellow"/>
        </w:rPr>
        <w:t>с</w:t>
      </w:r>
      <w:r w:rsidR="00E12685" w:rsidRPr="00442148">
        <w:rPr>
          <w:b/>
          <w:bCs/>
          <w:color w:val="000000"/>
          <w:highlight w:val="yellow"/>
        </w:rPr>
        <w:t xml:space="preserve"> </w:t>
      </w:r>
      <w:r w:rsidR="002E1E73">
        <w:rPr>
          <w:b/>
          <w:bCs/>
          <w:color w:val="000000"/>
          <w:highlight w:val="yellow"/>
        </w:rPr>
        <w:t>0</w:t>
      </w:r>
      <w:r w:rsidR="00497762">
        <w:rPr>
          <w:b/>
          <w:bCs/>
          <w:color w:val="000000"/>
          <w:highlight w:val="yellow"/>
        </w:rPr>
        <w:t>7 ноября</w:t>
      </w:r>
      <w:r w:rsidR="006A6740" w:rsidRPr="00442148">
        <w:rPr>
          <w:b/>
          <w:bCs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491F3A">
        <w:rPr>
          <w:b/>
          <w:highlight w:val="yellow"/>
        </w:rPr>
        <w:t>3</w:t>
      </w:r>
      <w:r w:rsidR="00E12685" w:rsidRPr="00442148">
        <w:rPr>
          <w:b/>
          <w:highlight w:val="yellow"/>
        </w:rPr>
        <w:t xml:space="preserve"> г.</w:t>
      </w:r>
      <w:r w:rsidRPr="00442148">
        <w:rPr>
          <w:b/>
          <w:bCs/>
          <w:color w:val="000000"/>
          <w:highlight w:val="yellow"/>
        </w:rPr>
        <w:t xml:space="preserve"> по </w:t>
      </w:r>
      <w:r w:rsidR="002E1E73">
        <w:rPr>
          <w:b/>
          <w:bCs/>
          <w:color w:val="000000"/>
          <w:highlight w:val="yellow"/>
        </w:rPr>
        <w:t>1</w:t>
      </w:r>
      <w:r w:rsidR="00497762">
        <w:rPr>
          <w:b/>
          <w:bCs/>
          <w:color w:val="000000"/>
          <w:highlight w:val="yellow"/>
        </w:rPr>
        <w:t>1 января</w:t>
      </w:r>
      <w:r w:rsidR="00E12685" w:rsidRPr="00442148">
        <w:rPr>
          <w:rFonts w:ascii="Times New Roman CYR" w:hAnsi="Times New Roman CYR" w:cs="Times New Roman CYR"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497762">
        <w:rPr>
          <w:b/>
          <w:highlight w:val="yellow"/>
        </w:rPr>
        <w:t>4</w:t>
      </w:r>
      <w:r w:rsidR="00E12685" w:rsidRPr="00442148">
        <w:rPr>
          <w:b/>
          <w:highlight w:val="yellow"/>
        </w:rPr>
        <w:t xml:space="preserve"> г</w:t>
      </w:r>
      <w:r w:rsidR="00E12685" w:rsidRPr="0000752F">
        <w:rPr>
          <w:b/>
        </w:rPr>
        <w:t>.</w:t>
      </w:r>
    </w:p>
    <w:p w14:paraId="1AA4D8CB" w14:textId="6CF3958D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lastRenderedPageBreak/>
        <w:t>Заявки на участие в Торгах ППП приним</w:t>
      </w:r>
      <w:r w:rsidR="0015099D" w:rsidRPr="0000752F">
        <w:rPr>
          <w:color w:val="000000"/>
        </w:rPr>
        <w:t>а</w:t>
      </w:r>
      <w:r w:rsidR="00997993" w:rsidRPr="0000752F">
        <w:rPr>
          <w:color w:val="000000"/>
        </w:rPr>
        <w:t xml:space="preserve">ются Оператором, начиная с </w:t>
      </w:r>
      <w:r w:rsidR="00997993" w:rsidRPr="00442148">
        <w:rPr>
          <w:color w:val="000000"/>
          <w:highlight w:val="yellow"/>
        </w:rPr>
        <w:t>0</w:t>
      </w:r>
      <w:r w:rsidR="00497762">
        <w:rPr>
          <w:color w:val="000000"/>
          <w:highlight w:val="yellow"/>
        </w:rPr>
        <w:t>9</w:t>
      </w:r>
      <w:r w:rsidR="00997993" w:rsidRPr="00442148">
        <w:rPr>
          <w:color w:val="000000"/>
          <w:highlight w:val="yellow"/>
        </w:rPr>
        <w:t>:00</w:t>
      </w:r>
      <w:r w:rsidRPr="0000752F">
        <w:rPr>
          <w:color w:val="000000"/>
        </w:rPr>
        <w:t xml:space="preserve"> часов по московскому времени</w:t>
      </w:r>
      <w:r w:rsidR="00E12685" w:rsidRPr="0000752F">
        <w:rPr>
          <w:color w:val="000000"/>
        </w:rPr>
        <w:t xml:space="preserve"> </w:t>
      </w:r>
      <w:r w:rsidR="00BC3D39">
        <w:rPr>
          <w:b/>
          <w:bCs/>
          <w:color w:val="000000"/>
          <w:highlight w:val="yellow"/>
        </w:rPr>
        <w:t>0</w:t>
      </w:r>
      <w:r w:rsidR="00497762">
        <w:rPr>
          <w:b/>
          <w:bCs/>
          <w:color w:val="000000"/>
          <w:highlight w:val="yellow"/>
        </w:rPr>
        <w:t>7 ноября</w:t>
      </w:r>
      <w:r w:rsidR="00491F3A">
        <w:rPr>
          <w:b/>
          <w:bCs/>
          <w:color w:val="000000"/>
          <w:highlight w:val="yellow"/>
        </w:rPr>
        <w:t xml:space="preserve"> </w:t>
      </w:r>
      <w:r w:rsidR="00E12685" w:rsidRPr="00442148">
        <w:rPr>
          <w:b/>
          <w:highlight w:val="yellow"/>
        </w:rPr>
        <w:t>202</w:t>
      </w:r>
      <w:r w:rsidR="00491F3A">
        <w:rPr>
          <w:b/>
          <w:highlight w:val="yellow"/>
        </w:rPr>
        <w:t>3</w:t>
      </w:r>
      <w:r w:rsidR="00E12685" w:rsidRPr="0000752F">
        <w:rPr>
          <w:b/>
        </w:rPr>
        <w:t xml:space="preserve"> г.</w:t>
      </w:r>
      <w:r w:rsidRPr="0000752F">
        <w:rPr>
          <w:color w:val="000000"/>
        </w:rPr>
        <w:t xml:space="preserve"> Прием заявок на участие в Торгах ППП и задатков прекращается </w:t>
      </w:r>
      <w:r w:rsidR="00491F3A">
        <w:rPr>
          <w:color w:val="000000"/>
        </w:rPr>
        <w:t>в день и время окончания</w:t>
      </w:r>
      <w:r w:rsidRPr="00442148">
        <w:rPr>
          <w:color w:val="000000"/>
          <w:highlight w:val="yellow"/>
        </w:rPr>
        <w:t xml:space="preserve"> соответствующего периода понижения цены продажи лот</w:t>
      </w:r>
      <w:r w:rsidR="008F46E6">
        <w:rPr>
          <w:color w:val="000000"/>
          <w:highlight w:val="yellow"/>
        </w:rPr>
        <w:t>а</w:t>
      </w:r>
      <w:r w:rsidRPr="00442148">
        <w:rPr>
          <w:color w:val="000000"/>
          <w:highlight w:val="yellow"/>
        </w:rPr>
        <w:t xml:space="preserve"> </w:t>
      </w:r>
      <w:r w:rsidRPr="0000752F">
        <w:rPr>
          <w:color w:val="000000"/>
        </w:rPr>
        <w:t>по московскому времени.</w:t>
      </w:r>
    </w:p>
    <w:p w14:paraId="411D9E91" w14:textId="3D4237C0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1541D">
        <w:rPr>
          <w:color w:val="000000"/>
        </w:rPr>
        <w:t xml:space="preserve">При наличии заявок на участие в Торгах ППП </w:t>
      </w:r>
      <w:r w:rsidR="00722ECA" w:rsidRPr="00D1541D">
        <w:rPr>
          <w:color w:val="000000"/>
        </w:rPr>
        <w:t>ОТ</w:t>
      </w:r>
      <w:r w:rsidRPr="00D1541D">
        <w:rPr>
          <w:color w:val="000000"/>
        </w:rPr>
        <w:t xml:space="preserve"> определяет победителя Торгов ППП не ранее </w:t>
      </w:r>
      <w:r w:rsidR="00491F3A" w:rsidRPr="00D1541D">
        <w:rPr>
          <w:color w:val="000000"/>
        </w:rPr>
        <w:t>09</w:t>
      </w:r>
      <w:r w:rsidRPr="00D1541D">
        <w:rPr>
          <w:color w:val="000000"/>
        </w:rPr>
        <w:t xml:space="preserve">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</w:t>
      </w:r>
      <w:r w:rsidR="00491F3A" w:rsidRPr="00D1541D">
        <w:rPr>
          <w:color w:val="000000"/>
        </w:rPr>
        <w:t>первого рабочего дня, следующего за днем окончания приема заявок на соответствующем</w:t>
      </w:r>
      <w:r w:rsidR="00491F3A" w:rsidRPr="0000752F">
        <w:rPr>
          <w:color w:val="000000"/>
        </w:rPr>
        <w:t xml:space="preserve"> периоде понижения цены продажи </w:t>
      </w:r>
      <w:r w:rsidR="00491F3A" w:rsidRPr="00D1541D">
        <w:rPr>
          <w:color w:val="000000"/>
        </w:rPr>
        <w:t>лотов.</w:t>
      </w:r>
    </w:p>
    <w:p w14:paraId="2858EAB5" w14:textId="77777777" w:rsidR="00EA7238" w:rsidRPr="0000752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F672C">
        <w:rPr>
          <w:color w:val="000000"/>
        </w:rPr>
        <w:t>Оператор обеспечивает проведение Торгов ППП.</w:t>
      </w:r>
    </w:p>
    <w:p w14:paraId="7630E6E9" w14:textId="1ECA05E2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Начальн</w:t>
      </w:r>
      <w:r w:rsidR="00514631">
        <w:rPr>
          <w:color w:val="000000"/>
        </w:rPr>
        <w:t>ая</w:t>
      </w:r>
      <w:r w:rsidRPr="0000752F">
        <w:rPr>
          <w:color w:val="000000"/>
        </w:rPr>
        <w:t xml:space="preserve"> цен</w:t>
      </w:r>
      <w:r w:rsidR="00514631">
        <w:rPr>
          <w:color w:val="000000"/>
        </w:rPr>
        <w:t>а</w:t>
      </w:r>
      <w:r w:rsidRPr="0000752F">
        <w:rPr>
          <w:color w:val="000000"/>
        </w:rPr>
        <w:t xml:space="preserve"> продажи лот</w:t>
      </w:r>
      <w:r w:rsidR="00514631">
        <w:rPr>
          <w:color w:val="000000"/>
        </w:rPr>
        <w:t>а</w:t>
      </w:r>
      <w:r w:rsidRPr="0000752F">
        <w:rPr>
          <w:color w:val="000000"/>
        </w:rPr>
        <w:t xml:space="preserve"> на Торгах ППП устанавлива</w:t>
      </w:r>
      <w:r w:rsidR="00514631">
        <w:rPr>
          <w:color w:val="000000"/>
        </w:rPr>
        <w:t>е</w:t>
      </w:r>
      <w:r w:rsidRPr="0000752F">
        <w:rPr>
          <w:color w:val="000000"/>
        </w:rPr>
        <w:t>тся равн</w:t>
      </w:r>
      <w:r w:rsidR="00514631">
        <w:rPr>
          <w:color w:val="000000"/>
        </w:rPr>
        <w:t>ой</w:t>
      </w:r>
      <w:r w:rsidRPr="0000752F">
        <w:rPr>
          <w:color w:val="000000"/>
        </w:rPr>
        <w:t xml:space="preserve"> начальн</w:t>
      </w:r>
      <w:r w:rsidR="00514631">
        <w:rPr>
          <w:color w:val="000000"/>
        </w:rPr>
        <w:t>ой</w:t>
      </w:r>
      <w:r w:rsidRPr="0000752F">
        <w:rPr>
          <w:color w:val="000000"/>
        </w:rPr>
        <w:t xml:space="preserve"> цен</w:t>
      </w:r>
      <w:r w:rsidR="00514631">
        <w:rPr>
          <w:color w:val="000000"/>
        </w:rPr>
        <w:t>е</w:t>
      </w:r>
      <w:r w:rsidRPr="0000752F">
        <w:rPr>
          <w:color w:val="000000"/>
        </w:rPr>
        <w:t xml:space="preserve"> продажи лот</w:t>
      </w:r>
      <w:r w:rsidR="00514631">
        <w:rPr>
          <w:color w:val="000000"/>
        </w:rPr>
        <w:t>а</w:t>
      </w:r>
      <w:r w:rsidRPr="0000752F">
        <w:rPr>
          <w:color w:val="000000"/>
        </w:rPr>
        <w:t xml:space="preserve"> на повторных Торгах</w:t>
      </w:r>
      <w:r w:rsidR="00EA7238" w:rsidRPr="0000752F">
        <w:rPr>
          <w:color w:val="000000"/>
        </w:rPr>
        <w:t>:</w:t>
      </w:r>
    </w:p>
    <w:tbl>
      <w:tblPr>
        <w:tblStyle w:val="ae"/>
        <w:tblW w:w="9920" w:type="dxa"/>
        <w:tblLook w:val="04A0" w:firstRow="1" w:lastRow="0" w:firstColumn="1" w:lastColumn="0" w:noHBand="0" w:noVBand="1"/>
      </w:tblPr>
      <w:tblGrid>
        <w:gridCol w:w="1825"/>
        <w:gridCol w:w="1979"/>
        <w:gridCol w:w="2056"/>
        <w:gridCol w:w="2210"/>
        <w:gridCol w:w="1850"/>
      </w:tblGrid>
      <w:tr w:rsidR="001F672C" w:rsidRPr="001F672C" w14:paraId="3800F273" w14:textId="77777777" w:rsidTr="001F672C">
        <w:trPr>
          <w:trHeight w:val="1214"/>
        </w:trPr>
        <w:tc>
          <w:tcPr>
            <w:tcW w:w="1825" w:type="dxa"/>
            <w:vAlign w:val="center"/>
            <w:hideMark/>
          </w:tcPr>
          <w:p w14:paraId="40AB51D7" w14:textId="5BD5147E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 xml:space="preserve">Дата и время </w:t>
            </w:r>
            <w:r w:rsidR="00E928BD">
              <w:rPr>
                <w:color w:val="000000"/>
              </w:rPr>
              <w:t>начала периода приема заявок</w:t>
            </w:r>
          </w:p>
        </w:tc>
        <w:tc>
          <w:tcPr>
            <w:tcW w:w="1979" w:type="dxa"/>
            <w:vAlign w:val="center"/>
            <w:hideMark/>
          </w:tcPr>
          <w:p w14:paraId="076F7535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Дата и время окончания периода приема заявок</w:t>
            </w:r>
          </w:p>
        </w:tc>
        <w:tc>
          <w:tcPr>
            <w:tcW w:w="2056" w:type="dxa"/>
            <w:vAlign w:val="center"/>
            <w:hideMark/>
          </w:tcPr>
          <w:p w14:paraId="59F02C66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Величина снижения</w:t>
            </w:r>
          </w:p>
        </w:tc>
        <w:tc>
          <w:tcPr>
            <w:tcW w:w="2210" w:type="dxa"/>
            <w:vAlign w:val="center"/>
            <w:hideMark/>
          </w:tcPr>
          <w:p w14:paraId="6DE41D18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Цена продажи</w:t>
            </w:r>
          </w:p>
        </w:tc>
        <w:tc>
          <w:tcPr>
            <w:tcW w:w="1850" w:type="dxa"/>
            <w:vAlign w:val="center"/>
            <w:hideMark/>
          </w:tcPr>
          <w:p w14:paraId="633D0BF7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Сумма задатка 5%</w:t>
            </w:r>
          </w:p>
        </w:tc>
      </w:tr>
      <w:tr w:rsidR="001F672C" w:rsidRPr="001F672C" w14:paraId="2AA4769C" w14:textId="77777777" w:rsidTr="001F672C">
        <w:trPr>
          <w:trHeight w:val="303"/>
        </w:trPr>
        <w:tc>
          <w:tcPr>
            <w:tcW w:w="1825" w:type="dxa"/>
            <w:noWrap/>
            <w:vAlign w:val="center"/>
            <w:hideMark/>
          </w:tcPr>
          <w:p w14:paraId="1761F8F3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07.11.23 9:00</w:t>
            </w:r>
          </w:p>
        </w:tc>
        <w:tc>
          <w:tcPr>
            <w:tcW w:w="1979" w:type="dxa"/>
            <w:noWrap/>
            <w:vAlign w:val="center"/>
            <w:hideMark/>
          </w:tcPr>
          <w:p w14:paraId="24984D95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14.12.23 9:00</w:t>
            </w:r>
          </w:p>
        </w:tc>
        <w:tc>
          <w:tcPr>
            <w:tcW w:w="2056" w:type="dxa"/>
            <w:noWrap/>
            <w:vAlign w:val="center"/>
            <w:hideMark/>
          </w:tcPr>
          <w:p w14:paraId="01E515AA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0,00 ₽</w:t>
            </w:r>
          </w:p>
        </w:tc>
        <w:tc>
          <w:tcPr>
            <w:tcW w:w="2210" w:type="dxa"/>
            <w:noWrap/>
            <w:vAlign w:val="center"/>
            <w:hideMark/>
          </w:tcPr>
          <w:p w14:paraId="4C7CC7A4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450 000,00 ₽</w:t>
            </w:r>
          </w:p>
        </w:tc>
        <w:tc>
          <w:tcPr>
            <w:tcW w:w="1850" w:type="dxa"/>
            <w:noWrap/>
            <w:vAlign w:val="center"/>
            <w:hideMark/>
          </w:tcPr>
          <w:p w14:paraId="6A03B0D9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22 500,00 ₽</w:t>
            </w:r>
          </w:p>
        </w:tc>
      </w:tr>
      <w:tr w:rsidR="001F672C" w:rsidRPr="001F672C" w14:paraId="45CB85CD" w14:textId="77777777" w:rsidTr="001F672C">
        <w:trPr>
          <w:trHeight w:val="303"/>
        </w:trPr>
        <w:tc>
          <w:tcPr>
            <w:tcW w:w="1825" w:type="dxa"/>
            <w:noWrap/>
            <w:vAlign w:val="center"/>
            <w:hideMark/>
          </w:tcPr>
          <w:p w14:paraId="0267093B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14.12.23 9:00</w:t>
            </w:r>
          </w:p>
        </w:tc>
        <w:tc>
          <w:tcPr>
            <w:tcW w:w="1979" w:type="dxa"/>
            <w:noWrap/>
            <w:vAlign w:val="center"/>
            <w:hideMark/>
          </w:tcPr>
          <w:p w14:paraId="45D9C5A5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21.12.23 9:00</w:t>
            </w:r>
          </w:p>
        </w:tc>
        <w:tc>
          <w:tcPr>
            <w:tcW w:w="2056" w:type="dxa"/>
            <w:noWrap/>
            <w:vAlign w:val="center"/>
            <w:hideMark/>
          </w:tcPr>
          <w:p w14:paraId="4E802109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31 500,00 ₽</w:t>
            </w:r>
          </w:p>
        </w:tc>
        <w:tc>
          <w:tcPr>
            <w:tcW w:w="2210" w:type="dxa"/>
            <w:noWrap/>
            <w:vAlign w:val="center"/>
            <w:hideMark/>
          </w:tcPr>
          <w:p w14:paraId="24803BCD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418 500,00 ₽</w:t>
            </w:r>
          </w:p>
        </w:tc>
        <w:tc>
          <w:tcPr>
            <w:tcW w:w="1850" w:type="dxa"/>
            <w:noWrap/>
            <w:vAlign w:val="center"/>
            <w:hideMark/>
          </w:tcPr>
          <w:p w14:paraId="6682DFAB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20 925,00 ₽</w:t>
            </w:r>
          </w:p>
        </w:tc>
      </w:tr>
      <w:tr w:rsidR="001F672C" w:rsidRPr="001F672C" w14:paraId="0198AE80" w14:textId="77777777" w:rsidTr="001F672C">
        <w:trPr>
          <w:trHeight w:val="303"/>
        </w:trPr>
        <w:tc>
          <w:tcPr>
            <w:tcW w:w="1825" w:type="dxa"/>
            <w:noWrap/>
            <w:vAlign w:val="center"/>
            <w:hideMark/>
          </w:tcPr>
          <w:p w14:paraId="2BD8EBC8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21.12.23 9:00</w:t>
            </w:r>
          </w:p>
        </w:tc>
        <w:tc>
          <w:tcPr>
            <w:tcW w:w="1979" w:type="dxa"/>
            <w:noWrap/>
            <w:vAlign w:val="center"/>
            <w:hideMark/>
          </w:tcPr>
          <w:p w14:paraId="3BDA171F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28.12.23 9:00</w:t>
            </w:r>
          </w:p>
        </w:tc>
        <w:tc>
          <w:tcPr>
            <w:tcW w:w="2056" w:type="dxa"/>
            <w:noWrap/>
            <w:vAlign w:val="center"/>
            <w:hideMark/>
          </w:tcPr>
          <w:p w14:paraId="38B5D455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31 500,00 ₽</w:t>
            </w:r>
          </w:p>
        </w:tc>
        <w:tc>
          <w:tcPr>
            <w:tcW w:w="2210" w:type="dxa"/>
            <w:noWrap/>
            <w:vAlign w:val="center"/>
            <w:hideMark/>
          </w:tcPr>
          <w:p w14:paraId="329F9314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387 000,00 ₽</w:t>
            </w:r>
          </w:p>
        </w:tc>
        <w:tc>
          <w:tcPr>
            <w:tcW w:w="1850" w:type="dxa"/>
            <w:noWrap/>
            <w:vAlign w:val="center"/>
            <w:hideMark/>
          </w:tcPr>
          <w:p w14:paraId="2EDA23B5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19 350,00 ₽</w:t>
            </w:r>
          </w:p>
        </w:tc>
      </w:tr>
      <w:tr w:rsidR="001F672C" w:rsidRPr="001F672C" w14:paraId="32CFFB8D" w14:textId="77777777" w:rsidTr="001F672C">
        <w:trPr>
          <w:trHeight w:val="303"/>
        </w:trPr>
        <w:tc>
          <w:tcPr>
            <w:tcW w:w="1825" w:type="dxa"/>
            <w:noWrap/>
            <w:vAlign w:val="center"/>
            <w:hideMark/>
          </w:tcPr>
          <w:p w14:paraId="596B0C83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28.12.23 9:00</w:t>
            </w:r>
          </w:p>
        </w:tc>
        <w:tc>
          <w:tcPr>
            <w:tcW w:w="1979" w:type="dxa"/>
            <w:noWrap/>
            <w:vAlign w:val="center"/>
            <w:hideMark/>
          </w:tcPr>
          <w:p w14:paraId="7ACBD747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04.01.24 9:00</w:t>
            </w:r>
          </w:p>
        </w:tc>
        <w:tc>
          <w:tcPr>
            <w:tcW w:w="2056" w:type="dxa"/>
            <w:noWrap/>
            <w:vAlign w:val="center"/>
            <w:hideMark/>
          </w:tcPr>
          <w:p w14:paraId="790EB45A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31 500,00 ₽</w:t>
            </w:r>
          </w:p>
        </w:tc>
        <w:tc>
          <w:tcPr>
            <w:tcW w:w="2210" w:type="dxa"/>
            <w:noWrap/>
            <w:vAlign w:val="center"/>
            <w:hideMark/>
          </w:tcPr>
          <w:p w14:paraId="4429E0BF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355 500,00 ₽</w:t>
            </w:r>
          </w:p>
        </w:tc>
        <w:tc>
          <w:tcPr>
            <w:tcW w:w="1850" w:type="dxa"/>
            <w:noWrap/>
            <w:vAlign w:val="center"/>
            <w:hideMark/>
          </w:tcPr>
          <w:p w14:paraId="159FE990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17 775,00 ₽</w:t>
            </w:r>
          </w:p>
        </w:tc>
      </w:tr>
      <w:tr w:rsidR="001F672C" w:rsidRPr="001F672C" w14:paraId="4D0D868C" w14:textId="77777777" w:rsidTr="001F672C">
        <w:trPr>
          <w:trHeight w:val="303"/>
        </w:trPr>
        <w:tc>
          <w:tcPr>
            <w:tcW w:w="1825" w:type="dxa"/>
            <w:noWrap/>
            <w:vAlign w:val="center"/>
            <w:hideMark/>
          </w:tcPr>
          <w:p w14:paraId="6FF21993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04.01.24 9:00</w:t>
            </w:r>
          </w:p>
        </w:tc>
        <w:tc>
          <w:tcPr>
            <w:tcW w:w="1979" w:type="dxa"/>
            <w:noWrap/>
            <w:vAlign w:val="center"/>
            <w:hideMark/>
          </w:tcPr>
          <w:p w14:paraId="35CC15F0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11.01.24 9:00</w:t>
            </w:r>
          </w:p>
        </w:tc>
        <w:tc>
          <w:tcPr>
            <w:tcW w:w="2056" w:type="dxa"/>
            <w:noWrap/>
            <w:vAlign w:val="center"/>
            <w:hideMark/>
          </w:tcPr>
          <w:p w14:paraId="717263A3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31 500,00 ₽</w:t>
            </w:r>
          </w:p>
        </w:tc>
        <w:tc>
          <w:tcPr>
            <w:tcW w:w="2210" w:type="dxa"/>
            <w:noWrap/>
            <w:vAlign w:val="center"/>
            <w:hideMark/>
          </w:tcPr>
          <w:p w14:paraId="4C65610C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324 000,00 ₽</w:t>
            </w:r>
          </w:p>
        </w:tc>
        <w:tc>
          <w:tcPr>
            <w:tcW w:w="1850" w:type="dxa"/>
            <w:noWrap/>
            <w:vAlign w:val="center"/>
            <w:hideMark/>
          </w:tcPr>
          <w:p w14:paraId="6848D483" w14:textId="77777777" w:rsidR="001F672C" w:rsidRPr="001F672C" w:rsidRDefault="001F672C" w:rsidP="00B967FF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center"/>
              <w:rPr>
                <w:color w:val="000000"/>
              </w:rPr>
            </w:pPr>
            <w:r w:rsidRPr="001F672C">
              <w:rPr>
                <w:color w:val="000000"/>
              </w:rPr>
              <w:t>16 200,00 ₽</w:t>
            </w:r>
          </w:p>
        </w:tc>
      </w:tr>
    </w:tbl>
    <w:p w14:paraId="7D8DCC26" w14:textId="77777777" w:rsidR="001F672C" w:rsidRDefault="001F672C" w:rsidP="00B96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33E19E33" w14:textId="2471BF3D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00752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00752F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00752F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495EA" w14:textId="4C9F65CD" w:rsidR="006A3552" w:rsidRPr="006A3552" w:rsidRDefault="00EA7238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</w:t>
      </w:r>
      <w:r w:rsidR="006A3552">
        <w:rPr>
          <w:rFonts w:ascii="Times New Roman" w:hAnsi="Times New Roman" w:cs="Times New Roman"/>
          <w:color w:val="000000"/>
          <w:sz w:val="24"/>
          <w:szCs w:val="24"/>
        </w:rPr>
        <w:t xml:space="preserve">средств </w:t>
      </w:r>
      <w:r w:rsidR="006A3552" w:rsidRPr="006A3552">
        <w:rPr>
          <w:rFonts w:ascii="Times New Roman" w:hAnsi="Times New Roman" w:cs="Times New Roman"/>
          <w:color w:val="000000"/>
          <w:sz w:val="24"/>
          <w:szCs w:val="24"/>
        </w:rPr>
        <w:t xml:space="preserve">на расчетный счет Оператора электронной площадки: </w:t>
      </w:r>
    </w:p>
    <w:p w14:paraId="106808B4" w14:textId="77777777" w:rsidR="006A3552" w:rsidRP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Получатель - АО «Российский аукционный дом» (ИНН 7838430413, КПП 783801001):</w:t>
      </w:r>
    </w:p>
    <w:p w14:paraId="02229AF1" w14:textId="77777777" w:rsidR="006A3552" w:rsidRP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р/с № 40702810355000036459 в СЕВЕРО-ЗАПАДНЫЙ БАНК ПАО СБЕРБАНК,</w:t>
      </w:r>
    </w:p>
    <w:p w14:paraId="31195FF6" w14:textId="77777777" w:rsid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БИК 044030653, к/с 30101810500000000653.</w:t>
      </w:r>
    </w:p>
    <w:p w14:paraId="01C529D3" w14:textId="30AE410D" w:rsidR="006A3552" w:rsidRDefault="006A3552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8FAFF21" w14:textId="7BFDD47F" w:rsidR="00EA7238" w:rsidRPr="0000752F" w:rsidRDefault="00EA7238" w:rsidP="006A35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00752F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2DA0D5AC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7A17E4" w:rsidRPr="001F67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Pr="001F67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 (Д</w:t>
      </w:r>
      <w:r w:rsidR="007A17E4" w:rsidRPr="001F67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вадцать</w:t>
      </w:r>
      <w:r w:rsidRPr="001F672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 процентов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="001F672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5</w:t>
      </w:r>
      <w:r w:rsidRPr="001F672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(</w:t>
      </w:r>
      <w:r w:rsidR="001F672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Пять</w:t>
      </w:r>
      <w:r w:rsidRPr="001F672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) процентов</w:t>
      </w:r>
      <w:r w:rsidRPr="00D15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начальной цены продажи лота 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</w:t>
      </w:r>
      <w:r w:rsidR="00BC3D39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соответствующем 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периоде. </w:t>
      </w:r>
      <w:r w:rsidR="001634C3" w:rsidRPr="001634C3">
        <w:rPr>
          <w:rFonts w:ascii="Times New Roman" w:hAnsi="Times New Roman" w:cs="Times New Roman"/>
          <w:color w:val="000000"/>
          <w:sz w:val="24"/>
          <w:szCs w:val="24"/>
        </w:rPr>
        <w:t>Задаток считается внесенным с даты поступления всей суммы Задатка на указанный счет.</w:t>
      </w:r>
    </w:p>
    <w:p w14:paraId="4D2C79F3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00752F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00752F">
        <w:rPr>
          <w:rFonts w:ascii="Times New Roman" w:hAnsi="Times New Roman" w:cs="Times New Roman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6A8DE496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3CA487BC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00752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00752F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00752F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166A027B" w:rsidR="00A41F3F" w:rsidRPr="0000752F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</w:t>
      </w:r>
      <w:r w:rsidR="00A643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предложения заключить Договор</w:t>
      </w:r>
      <w:r w:rsidR="00A6433C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подписать Договор и не позднее 2 (Два) дней с даты подписания направить его </w:t>
      </w:r>
      <w:r w:rsidR="00722ECA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</w:t>
      </w:r>
      <w:r w:rsidR="00A6433C">
        <w:rPr>
          <w:rFonts w:ascii="Times New Roman" w:hAnsi="Times New Roman" w:cs="Times New Roman"/>
          <w:color w:val="000000"/>
          <w:sz w:val="24"/>
          <w:szCs w:val="24"/>
        </w:rPr>
        <w:t xml:space="preserve">внесенный Победителем задаток ему не возвращается 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061D5A" w:rsidRPr="0000752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</w:t>
      </w:r>
      <w:r w:rsidR="00A41F3F" w:rsidRPr="000075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6A98380" w14:textId="2F86B5CE" w:rsidR="001F672C" w:rsidRDefault="00EA7238" w:rsidP="001F67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</w:t>
      </w:r>
      <w:r w:rsidR="00A6433C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определенную на Торгах (Торгах ППП) цену продажи лота за вычетом внесенного ранее задатка по следующим реквизитам: </w:t>
      </w:r>
      <w:r w:rsidR="001F672C" w:rsidRPr="001F672C">
        <w:rPr>
          <w:rFonts w:ascii="Times New Roman" w:hAnsi="Times New Roman" w:cs="Times New Roman"/>
          <w:color w:val="000000"/>
          <w:sz w:val="24"/>
          <w:szCs w:val="24"/>
        </w:rPr>
        <w:t>Получатель: ОАО «Авиакомпания Бурятские авиалинии», ИНН 0326006689</w:t>
      </w:r>
      <w:r w:rsidR="001F67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672C" w:rsidRPr="001F672C">
        <w:rPr>
          <w:rFonts w:ascii="Times New Roman" w:hAnsi="Times New Roman" w:cs="Times New Roman"/>
          <w:color w:val="000000"/>
          <w:sz w:val="24"/>
          <w:szCs w:val="24"/>
        </w:rPr>
        <w:t>р/с 40702810500000086891, Наименование банка: ПАО "МТС-БАНК"</w:t>
      </w:r>
      <w:r w:rsidR="001F67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672C" w:rsidRPr="001F672C">
        <w:rPr>
          <w:rFonts w:ascii="Times New Roman" w:hAnsi="Times New Roman" w:cs="Times New Roman"/>
          <w:color w:val="000000"/>
          <w:sz w:val="24"/>
          <w:szCs w:val="24"/>
        </w:rPr>
        <w:t>БИК: 044525232, Кор. счет: 30101810600000000232.</w:t>
      </w:r>
      <w:r w:rsidR="001F67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</w:t>
      </w:r>
      <w:r w:rsidRPr="00A675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721D">
        <w:rPr>
          <w:rFonts w:ascii="Times New Roman" w:hAnsi="Times New Roman" w:cs="Times New Roman"/>
          <w:sz w:val="24"/>
          <w:szCs w:val="24"/>
        </w:rPr>
        <w:t>реквизиты Договора, номер лота и дату проведения Торгов (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период проведения Торгов ППП). </w:t>
      </w:r>
    </w:p>
    <w:p w14:paraId="3839960F" w14:textId="15334AE6" w:rsidR="001F672C" w:rsidRDefault="001F672C" w:rsidP="001F67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72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признания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1F672C">
        <w:rPr>
          <w:rFonts w:ascii="Times New Roman" w:hAnsi="Times New Roman" w:cs="Times New Roman"/>
          <w:color w:val="000000"/>
          <w:sz w:val="24"/>
          <w:szCs w:val="24"/>
        </w:rPr>
        <w:t xml:space="preserve"> несостоявшим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1F672C">
        <w:rPr>
          <w:rFonts w:ascii="Times New Roman" w:hAnsi="Times New Roman" w:cs="Times New Roman"/>
          <w:color w:val="000000"/>
          <w:sz w:val="24"/>
          <w:szCs w:val="24"/>
        </w:rPr>
        <w:t xml:space="preserve">я по причине допуска к участию только одного участника, </w:t>
      </w:r>
      <w:r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1F672C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 договор купли-продажи с единственным участником аукциона, по цене предложения этого участника, но не менее начальной цены лота, в течение 10 (десяти) дней, с даты признания аукциона несостоявшимся.</w:t>
      </w:r>
    </w:p>
    <w:p w14:paraId="64EC46B4" w14:textId="77777777" w:rsidR="00EA7238" w:rsidRPr="0086721D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</w:t>
      </w:r>
      <w:r w:rsidR="00EA7238" w:rsidRPr="0086721D">
        <w:rPr>
          <w:rFonts w:ascii="Times New Roman" w:hAnsi="Times New Roman" w:cs="Times New Roman"/>
          <w:sz w:val="24"/>
          <w:szCs w:val="24"/>
        </w:rPr>
        <w:t>даты подведения итогов Торгов (Торгов ППП).</w:t>
      </w:r>
    </w:p>
    <w:p w14:paraId="576157B5" w14:textId="606E5AE6" w:rsidR="00EA7238" w:rsidRPr="0086721D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</w:t>
      </w:r>
      <w:r w:rsidR="00EA7238" w:rsidRPr="0086721D">
        <w:rPr>
          <w:rFonts w:ascii="Times New Roman" w:hAnsi="Times New Roman" w:cs="Times New Roman"/>
          <w:sz w:val="24"/>
          <w:szCs w:val="24"/>
        </w:rPr>
        <w:t xml:space="preserve">можно получить </w:t>
      </w:r>
      <w:r w:rsidR="00EA7238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86721D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467D6B" w:rsidRPr="0086721D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6721D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E4E05"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467D6B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86721D">
        <w:rPr>
          <w:rFonts w:ascii="Times New Roman" w:hAnsi="Times New Roman" w:cs="Times New Roman"/>
          <w:sz w:val="24"/>
          <w:szCs w:val="24"/>
        </w:rPr>
        <w:t>часов</w:t>
      </w:r>
      <w:r w:rsidR="0086721D" w:rsidRPr="0086721D">
        <w:rPr>
          <w:rFonts w:ascii="Times New Roman" w:hAnsi="Times New Roman" w:cs="Times New Roman"/>
          <w:sz w:val="24"/>
          <w:szCs w:val="24"/>
        </w:rPr>
        <w:t xml:space="preserve"> по Владивостоку (МСК +7 ч.)</w:t>
      </w:r>
      <w:r w:rsidR="00EA7238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86721D" w:rsidRPr="0086721D">
        <w:rPr>
          <w:rFonts w:ascii="Times New Roman" w:hAnsi="Times New Roman" w:cs="Times New Roman"/>
          <w:sz w:val="24"/>
          <w:szCs w:val="24"/>
        </w:rPr>
        <w:t>8 (924) 003-13-12, 8 (812) 777-57-57, (доб. 516),</w:t>
      </w:r>
      <w:r w:rsidR="008E4E05" w:rsidRPr="0086721D">
        <w:rPr>
          <w:rFonts w:ascii="Times New Roman" w:hAnsi="Times New Roman" w:cs="Times New Roman"/>
          <w:sz w:val="24"/>
          <w:szCs w:val="24"/>
        </w:rPr>
        <w:t xml:space="preserve"> </w:t>
      </w:r>
      <w:r w:rsidR="0086721D" w:rsidRPr="0086721D">
        <w:rPr>
          <w:rFonts w:ascii="Times New Roman" w:hAnsi="Times New Roman" w:cs="Times New Roman"/>
          <w:sz w:val="24"/>
          <w:szCs w:val="24"/>
          <w:lang w:val="en-US"/>
        </w:rPr>
        <w:t>dv</w:t>
      </w:r>
      <w:r w:rsidR="008E4E05" w:rsidRPr="0086721D">
        <w:rPr>
          <w:rFonts w:ascii="Times New Roman" w:hAnsi="Times New Roman" w:cs="Times New Roman"/>
          <w:sz w:val="24"/>
          <w:szCs w:val="24"/>
        </w:rPr>
        <w:t xml:space="preserve">@auction-house.ru, </w:t>
      </w:r>
      <w:r w:rsidR="0086721D" w:rsidRPr="0086721D">
        <w:rPr>
          <w:rFonts w:ascii="Times New Roman" w:hAnsi="Times New Roman" w:cs="Times New Roman"/>
          <w:sz w:val="24"/>
          <w:szCs w:val="24"/>
        </w:rPr>
        <w:t>Генералова Елена</w:t>
      </w:r>
      <w:r w:rsidR="008E4E05" w:rsidRPr="0086721D">
        <w:rPr>
          <w:rFonts w:ascii="Times New Roman" w:hAnsi="Times New Roman" w:cs="Times New Roman"/>
          <w:sz w:val="24"/>
          <w:szCs w:val="24"/>
        </w:rPr>
        <w:t>.</w:t>
      </w:r>
    </w:p>
    <w:p w14:paraId="2D6EA270" w14:textId="77777777" w:rsidR="001F672C" w:rsidRPr="001F672C" w:rsidRDefault="001F672C" w:rsidP="001F6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72C">
        <w:rPr>
          <w:rFonts w:ascii="Times New Roman" w:hAnsi="Times New Roman" w:cs="Times New Roman"/>
          <w:sz w:val="24"/>
          <w:szCs w:val="24"/>
        </w:rPr>
        <w:t>Имущество находится на территории Аэропорта - г. Улан-Удэ, пос. Аэропорт, 10 с платным и ограниченным доступом.</w:t>
      </w:r>
    </w:p>
    <w:p w14:paraId="085A7A22" w14:textId="2EE945AB" w:rsidR="001F672C" w:rsidRPr="001F672C" w:rsidRDefault="001F672C" w:rsidP="001F6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72C">
        <w:rPr>
          <w:rFonts w:ascii="Times New Roman" w:hAnsi="Times New Roman" w:cs="Times New Roman"/>
          <w:sz w:val="24"/>
          <w:szCs w:val="24"/>
        </w:rPr>
        <w:t xml:space="preserve">Для получения доступа к месту нахождения имущества необходимо получить пропуск в Службе авиационной безопасности аэропорта «Байкал». Пропуск оформляется заблаговременно. Можно обратится в бюро пропусков в Аэропорту, заполнить заявку и получить резолюцию у директора (это быстрее) или оставить заявку на оформление пропуска на сайте Аэропорта по адресу </w:t>
      </w:r>
      <w:hyperlink r:id="rId9" w:history="1">
        <w:r w:rsidRPr="00D4545A">
          <w:rPr>
            <w:rStyle w:val="a4"/>
            <w:rFonts w:ascii="Times New Roman" w:hAnsi="Times New Roman"/>
            <w:sz w:val="24"/>
            <w:szCs w:val="24"/>
          </w:rPr>
          <w:t>https://www.airportbaikal.ru/partners/pass/</w:t>
        </w:r>
      </w:hyperlink>
      <w:r w:rsidRPr="001F672C">
        <w:rPr>
          <w:rFonts w:ascii="Times New Roman" w:hAnsi="Times New Roman" w:cs="Times New Roman"/>
          <w:sz w:val="24"/>
          <w:szCs w:val="24"/>
        </w:rPr>
        <w:t xml:space="preserve">.  Срок рассмотрения заявки не более 3х рабочих дней. </w:t>
      </w:r>
    </w:p>
    <w:p w14:paraId="3EF61BC0" w14:textId="6499ECD8" w:rsidR="001F672C" w:rsidRDefault="001F672C" w:rsidP="001F6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72C">
        <w:rPr>
          <w:rFonts w:ascii="Times New Roman" w:hAnsi="Times New Roman" w:cs="Times New Roman"/>
          <w:sz w:val="24"/>
          <w:szCs w:val="24"/>
        </w:rPr>
        <w:t>После получения пропуска необходимо связаться с лицом, сопровождающ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F672C">
        <w:rPr>
          <w:rFonts w:ascii="Times New Roman" w:hAnsi="Times New Roman" w:cs="Times New Roman"/>
          <w:sz w:val="24"/>
          <w:szCs w:val="24"/>
        </w:rPr>
        <w:t xml:space="preserve">м при осмотре имущества: Копылов Александр Алексеевич, Тел. 8-9834206255, 8-9397930373, электронная почта kopilov73@gmail.ru с дублированием запросов на электронную почту конкурсного управляющего </w:t>
      </w:r>
      <w:hyperlink r:id="rId10" w:history="1">
        <w:r w:rsidRPr="00D4545A">
          <w:rPr>
            <w:rStyle w:val="a4"/>
            <w:rFonts w:ascii="Times New Roman" w:hAnsi="Times New Roman"/>
            <w:sz w:val="24"/>
            <w:szCs w:val="24"/>
          </w:rPr>
          <w:t>andrey11112@yandex.ru</w:t>
        </w:r>
      </w:hyperlink>
      <w:r w:rsidRPr="001F672C">
        <w:rPr>
          <w:rFonts w:ascii="Times New Roman" w:hAnsi="Times New Roman" w:cs="Times New Roman"/>
          <w:sz w:val="24"/>
          <w:szCs w:val="24"/>
        </w:rPr>
        <w:t>.</w:t>
      </w:r>
    </w:p>
    <w:p w14:paraId="4C6E9F4F" w14:textId="18B04999" w:rsidR="00BE0BF1" w:rsidRPr="0086721D" w:rsidRDefault="00BE0BF1" w:rsidP="001F6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DB6A" w14:textId="77777777" w:rsidR="00202A7E" w:rsidRDefault="00202A7E" w:rsidP="00DF0D23">
      <w:pPr>
        <w:spacing w:after="0" w:line="240" w:lineRule="auto"/>
      </w:pPr>
      <w:r>
        <w:separator/>
      </w:r>
    </w:p>
  </w:endnote>
  <w:endnote w:type="continuationSeparator" w:id="0">
    <w:p w14:paraId="444CB3DD" w14:textId="77777777" w:rsidR="00202A7E" w:rsidRDefault="00202A7E" w:rsidP="00DF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F090" w14:textId="77777777" w:rsidR="00202A7E" w:rsidRDefault="00202A7E" w:rsidP="00DF0D23">
      <w:pPr>
        <w:spacing w:after="0" w:line="240" w:lineRule="auto"/>
      </w:pPr>
      <w:r>
        <w:separator/>
      </w:r>
    </w:p>
  </w:footnote>
  <w:footnote w:type="continuationSeparator" w:id="0">
    <w:p w14:paraId="603F9AC2" w14:textId="77777777" w:rsidR="00202A7E" w:rsidRDefault="00202A7E" w:rsidP="00DF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0752F"/>
    <w:rsid w:val="000106E4"/>
    <w:rsid w:val="00010C6F"/>
    <w:rsid w:val="00021E24"/>
    <w:rsid w:val="00047751"/>
    <w:rsid w:val="00051166"/>
    <w:rsid w:val="00061D5A"/>
    <w:rsid w:val="000D3E2A"/>
    <w:rsid w:val="000E16E1"/>
    <w:rsid w:val="00130BFB"/>
    <w:rsid w:val="0015099D"/>
    <w:rsid w:val="001634C3"/>
    <w:rsid w:val="001D4B58"/>
    <w:rsid w:val="001F039D"/>
    <w:rsid w:val="001F672C"/>
    <w:rsid w:val="00202A7E"/>
    <w:rsid w:val="002A15DF"/>
    <w:rsid w:val="002C312D"/>
    <w:rsid w:val="002E1E73"/>
    <w:rsid w:val="00365722"/>
    <w:rsid w:val="003A3592"/>
    <w:rsid w:val="0043161C"/>
    <w:rsid w:val="00442148"/>
    <w:rsid w:val="00467D6B"/>
    <w:rsid w:val="0047507E"/>
    <w:rsid w:val="00491F3A"/>
    <w:rsid w:val="00497762"/>
    <w:rsid w:val="004F4360"/>
    <w:rsid w:val="00514631"/>
    <w:rsid w:val="00526BC7"/>
    <w:rsid w:val="005506EE"/>
    <w:rsid w:val="00564010"/>
    <w:rsid w:val="005B38BA"/>
    <w:rsid w:val="005F1EFC"/>
    <w:rsid w:val="00634151"/>
    <w:rsid w:val="00637A0F"/>
    <w:rsid w:val="0069771B"/>
    <w:rsid w:val="006A3552"/>
    <w:rsid w:val="006A6740"/>
    <w:rsid w:val="006B43E3"/>
    <w:rsid w:val="0070175B"/>
    <w:rsid w:val="007229EA"/>
    <w:rsid w:val="00722ECA"/>
    <w:rsid w:val="00763106"/>
    <w:rsid w:val="007707B8"/>
    <w:rsid w:val="00790374"/>
    <w:rsid w:val="007A17E4"/>
    <w:rsid w:val="00807246"/>
    <w:rsid w:val="00844F87"/>
    <w:rsid w:val="00865FD7"/>
    <w:rsid w:val="0086721D"/>
    <w:rsid w:val="00883CD1"/>
    <w:rsid w:val="008A37E3"/>
    <w:rsid w:val="008C3DCD"/>
    <w:rsid w:val="008E4E05"/>
    <w:rsid w:val="008F46E6"/>
    <w:rsid w:val="00914D34"/>
    <w:rsid w:val="00915575"/>
    <w:rsid w:val="009523B6"/>
    <w:rsid w:val="00952ED1"/>
    <w:rsid w:val="009730D9"/>
    <w:rsid w:val="00997993"/>
    <w:rsid w:val="009A2AA8"/>
    <w:rsid w:val="009C500F"/>
    <w:rsid w:val="009C6E48"/>
    <w:rsid w:val="009F0E7B"/>
    <w:rsid w:val="009F7C07"/>
    <w:rsid w:val="00A03865"/>
    <w:rsid w:val="00A115B3"/>
    <w:rsid w:val="00A41F3F"/>
    <w:rsid w:val="00A6433C"/>
    <w:rsid w:val="00A67595"/>
    <w:rsid w:val="00A81E4E"/>
    <w:rsid w:val="00AB5A55"/>
    <w:rsid w:val="00B83E9D"/>
    <w:rsid w:val="00B967FF"/>
    <w:rsid w:val="00BC3D39"/>
    <w:rsid w:val="00BE0BF1"/>
    <w:rsid w:val="00BE1559"/>
    <w:rsid w:val="00C11EFF"/>
    <w:rsid w:val="00C52FEB"/>
    <w:rsid w:val="00C9585C"/>
    <w:rsid w:val="00CE011E"/>
    <w:rsid w:val="00D1541D"/>
    <w:rsid w:val="00D57DB3"/>
    <w:rsid w:val="00D62667"/>
    <w:rsid w:val="00D6315B"/>
    <w:rsid w:val="00DB0166"/>
    <w:rsid w:val="00DD18D5"/>
    <w:rsid w:val="00DF0D23"/>
    <w:rsid w:val="00DF5D3C"/>
    <w:rsid w:val="00E12685"/>
    <w:rsid w:val="00E614D3"/>
    <w:rsid w:val="00E6462F"/>
    <w:rsid w:val="00E91A03"/>
    <w:rsid w:val="00E928BD"/>
    <w:rsid w:val="00EA7238"/>
    <w:rsid w:val="00F05E04"/>
    <w:rsid w:val="00F26DD3"/>
    <w:rsid w:val="00F61FFE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F6E72EAF-8D40-4254-91A6-4EADFF08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D23"/>
    <w:rPr>
      <w:rFonts w:ascii="Calibri" w:hAnsi="Calibri" w:cs="Calibri"/>
    </w:rPr>
  </w:style>
  <w:style w:type="paragraph" w:styleId="ac">
    <w:name w:val="footer"/>
    <w:basedOn w:val="a"/>
    <w:link w:val="ad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D23"/>
    <w:rPr>
      <w:rFonts w:ascii="Calibri" w:hAnsi="Calibri" w:cs="Calibri"/>
    </w:rPr>
  </w:style>
  <w:style w:type="table" w:styleId="ae">
    <w:name w:val="Table Grid"/>
    <w:basedOn w:val="a1"/>
    <w:uiPriority w:val="39"/>
    <w:rsid w:val="001F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1F6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rey1111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rportbaikal.ru/partners/p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B031-A4D9-4229-98C6-7FC585BA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Генералова Елена Сергеевна</cp:lastModifiedBy>
  <cp:revision>16</cp:revision>
  <cp:lastPrinted>2022-10-20T05:15:00Z</cp:lastPrinted>
  <dcterms:created xsi:type="dcterms:W3CDTF">2022-08-08T05:58:00Z</dcterms:created>
  <dcterms:modified xsi:type="dcterms:W3CDTF">2023-06-19T06:32:00Z</dcterms:modified>
</cp:coreProperties>
</file>