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FEF881A" w:rsidR="0002684E" w:rsidRPr="00E41CD5" w:rsidRDefault="00C21397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39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C21397">
        <w:rPr>
          <w:rFonts w:ascii="Times New Roman" w:hAnsi="Times New Roman" w:cs="Times New Roman"/>
          <w:sz w:val="24"/>
        </w:rPr>
        <w:t>e-mail</w:t>
      </w:r>
      <w:proofErr w:type="spellEnd"/>
      <w:r w:rsidRPr="00C21397">
        <w:rPr>
          <w:rFonts w:ascii="Times New Roman" w:hAnsi="Times New Roman" w:cs="Times New Roman"/>
          <w:sz w:val="24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</w:rPr>
        <w:t xml:space="preserve">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№</w:t>
      </w:r>
      <w:r w:rsidRPr="00C21397">
        <w:rPr>
          <w:rFonts w:ascii="Times New Roman" w:hAnsi="Times New Roman" w:cs="Times New Roman"/>
          <w:sz w:val="24"/>
          <w:szCs w:val="24"/>
        </w:rPr>
        <w:t>02030216055 в газете АО «Коммерсантъ» №112(7557) от 24.06.2023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E41CD5">
        <w:rPr>
          <w:rFonts w:ascii="Times New Roman" w:hAnsi="Times New Roman" w:cs="Times New Roman"/>
          <w:sz w:val="24"/>
          <w:szCs w:val="24"/>
        </w:rPr>
        <w:t>27.06.2023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E41CD5">
        <w:rPr>
          <w:rFonts w:ascii="Times New Roman" w:hAnsi="Times New Roman" w:cs="Times New Roman"/>
          <w:sz w:val="24"/>
          <w:szCs w:val="24"/>
        </w:rPr>
        <w:t>03.08.2023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41CD5">
        <w:rPr>
          <w:rFonts w:ascii="Times New Roman" w:hAnsi="Times New Roman" w:cs="Times New Roman"/>
          <w:sz w:val="24"/>
          <w:szCs w:val="24"/>
        </w:rPr>
        <w:t>победител</w:t>
      </w:r>
      <w:r w:rsidR="00E41CD5">
        <w:rPr>
          <w:rFonts w:ascii="Times New Roman" w:hAnsi="Times New Roman" w:cs="Times New Roman"/>
          <w:sz w:val="24"/>
          <w:szCs w:val="24"/>
        </w:rPr>
        <w:t>и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торгов отказал</w:t>
      </w:r>
      <w:r w:rsidR="00E41CD5">
        <w:rPr>
          <w:rFonts w:ascii="Times New Roman" w:hAnsi="Times New Roman" w:cs="Times New Roman"/>
          <w:sz w:val="24"/>
          <w:szCs w:val="24"/>
        </w:rPr>
        <w:t>ись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(уклонил</w:t>
      </w:r>
      <w:r w:rsidR="00E41CD5">
        <w:rPr>
          <w:rFonts w:ascii="Times New Roman" w:hAnsi="Times New Roman" w:cs="Times New Roman"/>
          <w:sz w:val="24"/>
          <w:szCs w:val="24"/>
        </w:rPr>
        <w:t>и</w:t>
      </w:r>
      <w:r w:rsidR="0002684E" w:rsidRPr="00E41CD5">
        <w:rPr>
          <w:rFonts w:ascii="Times New Roman" w:hAnsi="Times New Roman" w:cs="Times New Roman"/>
          <w:sz w:val="24"/>
          <w:szCs w:val="24"/>
        </w:rPr>
        <w:t>с</w:t>
      </w:r>
      <w:r w:rsidR="00E41CD5">
        <w:rPr>
          <w:rFonts w:ascii="Times New Roman" w:hAnsi="Times New Roman" w:cs="Times New Roman"/>
          <w:sz w:val="24"/>
          <w:szCs w:val="24"/>
        </w:rPr>
        <w:t>ь</w:t>
      </w:r>
      <w:r w:rsidR="0002684E" w:rsidRPr="00E41CD5">
        <w:rPr>
          <w:rFonts w:ascii="Times New Roman" w:hAnsi="Times New Roman" w:cs="Times New Roman"/>
          <w:sz w:val="24"/>
          <w:szCs w:val="24"/>
        </w:rPr>
        <w:t>) от заключения договор</w:t>
      </w:r>
      <w:r w:rsidR="00E41CD5">
        <w:rPr>
          <w:rFonts w:ascii="Times New Roman" w:hAnsi="Times New Roman" w:cs="Times New Roman"/>
          <w:sz w:val="24"/>
          <w:szCs w:val="24"/>
        </w:rPr>
        <w:t>ов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E41CD5">
        <w:rPr>
          <w:rFonts w:ascii="Times New Roman" w:hAnsi="Times New Roman" w:cs="Times New Roman"/>
          <w:sz w:val="24"/>
          <w:szCs w:val="24"/>
        </w:rPr>
        <w:t>им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лот</w:t>
      </w:r>
      <w:r w:rsidR="00E41CD5">
        <w:rPr>
          <w:rFonts w:ascii="Times New Roman" w:hAnsi="Times New Roman" w:cs="Times New Roman"/>
          <w:sz w:val="24"/>
          <w:szCs w:val="24"/>
        </w:rPr>
        <w:t>ам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41CD5" w:rsidRPr="00E41CD5" w14:paraId="2C207671" w14:textId="77777777" w:rsidTr="0076257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4A29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ACC35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8C167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E41CD5" w:rsidRPr="00E41CD5" w14:paraId="60E4F027" w14:textId="77777777" w:rsidTr="0076257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CA7B6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color w:val="000000"/>
                <w:kern w:val="1"/>
                <w:sz w:val="22"/>
                <w:szCs w:val="22"/>
              </w:rPr>
              <w:t>70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AE915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kern w:val="1"/>
                <w:sz w:val="22"/>
                <w:szCs w:val="22"/>
              </w:rPr>
              <w:t>551 000,00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C76C3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E41CD5">
              <w:rPr>
                <w:rFonts w:eastAsia="Calibri"/>
                <w:kern w:val="1"/>
                <w:sz w:val="22"/>
                <w:szCs w:val="22"/>
                <w:lang w:eastAsia="en-US"/>
              </w:rPr>
              <w:t>ИП Зайцев Вячеслав Александрович</w:t>
            </w:r>
          </w:p>
        </w:tc>
      </w:tr>
      <w:tr w:rsidR="00E41CD5" w:rsidRPr="00E41CD5" w14:paraId="666CEB2B" w14:textId="77777777" w:rsidTr="0076257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DF5CA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color w:val="000000"/>
                <w:kern w:val="1"/>
                <w:sz w:val="22"/>
                <w:szCs w:val="22"/>
              </w:rPr>
              <w:t>75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B1641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kern w:val="1"/>
                <w:sz w:val="22"/>
                <w:szCs w:val="22"/>
              </w:rPr>
              <w:t>1 500,00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1AD95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E41CD5">
              <w:rPr>
                <w:rFonts w:eastAsia="Calibri"/>
                <w:kern w:val="1"/>
                <w:sz w:val="22"/>
                <w:szCs w:val="22"/>
                <w:lang w:eastAsia="en-US"/>
              </w:rPr>
              <w:t>Шабалин Алексей Валерьевич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21397"/>
    <w:rsid w:val="00CB1641"/>
    <w:rsid w:val="00CC102E"/>
    <w:rsid w:val="00CE58D1"/>
    <w:rsid w:val="00D547D5"/>
    <w:rsid w:val="00E41C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2023-08-18T11:34:00Z</dcterms:modified>
</cp:coreProperties>
</file>