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Предварительный 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right"/>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Макарова Лидия Михайловна (Кулакова Лидия Михайловна) (18.10.1989г.р., место рожд: гор. Чебоксары, адрес рег: 428022, Чувашская Респ - Чувашия, Чебоксары г, 50 лет Октября ул, д. 13, к. 1, кв. 53, СНИЛС10936880580, ИНН 212712447997, паспорт РФ серия 9711, номер 945900, выдан 16.02.2012, кем выдан Отделом УФМС России по Чувашской Республике в Калининском районе гор.Чебоксары, код подразделения 210-024),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Чувашской Республики от 15.03.2023г. по делу №А79-8539/2021,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Продавец обязуется известить всех участников долевой собственности в письменной форме,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 https://rosreestr.gov.ru/site/, а также опубликование извещения на иных общедоступных источниках о намерении продать долю в объекте недвижимости (далее по тексту — объект недвижимости) с указанием цены, размера, местоположения объекта недвижимости.</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(продавцу), или получения свидетельства о надлежащем уведомлении всех участников долевой собственности в нотариальной форме,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 https://rosreestr.gov.ru/site/, а также на иных общедоступных источниках, передать в собственность Покупателю путем заключения договора купли-продажи («Основной договор») следующий Объект недвижимости:</w:t>
              <w:br/>
              <w:t>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Комната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Стороны обязуются заключить Основной договор купли-продажи объекта недвижимости в срок не позднее 13.10.2023.</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Продавец вправе направить Покупателю Дополнительное Соглашение о внесении изменений в части п.1.3 и п. 5.1  настоящего Договора. (п. 1 ст. 450 Гражданский Кодекс Российской Федерации).”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Условия основного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По Основному договору Продавец обязуется передать в собственность Покупателя Объект недвижимости, а Покупатель обязуется его принять и оплатить.</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Стоимость продаваемого Объекта недвижимости составляет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2.3.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2.3.1.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2.3.2.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2.3.3. Расходы, связанные с государственной регистрацией имущества, уведомлением сособственников о преимуществом праве покупки и соблюдением правил оформления сделки по продаже доли, и иные расходы по сделке несет «Покупатель».</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2.4. Покупатель обязан: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2.4.1. Оплатить полную стоимость имущества в соответствии с основным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2.4.2.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2.4.3. Уплатить государственную пошлину за государственную регистрацию перехода права собственности.</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2.4.4. Осуществить государственную регистрацию перехода права собственности на имущество к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3.1. В случае, если одна из Сторон будет уклоняться от заключения Основного договора, то уклоняющаяся Сторона должна будет оплатить добросовестной Стороне штраф в размере суммы задатка.</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Разрешение споров</w:t>
            </w:r>
          </w:p>
        </w:tc>
      </w:tr>
      <w:tr>
        <w:trPr>
          <w:trHeight w:val="8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Российской Федерации.</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При невозможности урегулирования спорных вопросов в процессе переговоров споры разрешаются в суде в порядке, установленном действующим законодательством Российской Федерации.</w:t>
            </w:r>
          </w:p>
        </w:tc>
      </w:tr>
      <w:tr>
        <w:trPr>
          <w:trHeight w:val="34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Заключительные положения</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Настоящий договор является предварительным и содержит основные условия для заключения Основного договора купли-продажи, который стороны обязуются заключить в срок не позднее 13.10.2023.</w:t>
            </w:r>
          </w:p>
        </w:tc>
      </w:tr>
      <w:tr>
        <w:trPr>
          <w:trHeight w:val="7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содержит весь объем соглашений между сторонами в отношении предмета настоящего договора, отменяет и делает недействительными все иные обязательства, которые могли быть приняты и сделаны сторонами в устной или письменной форме до заключения настоящего договора.</w:t>
            </w:r>
          </w:p>
        </w:tc>
      </w:tr>
      <w:tr>
        <w:trPr>
          <w:trHeight w:val="2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5.3. Настоящий договор составлен в двух одинаковых экземплярах, по одному для каждой Стороны.</w:t>
            </w:r>
          </w:p>
        </w:tc>
      </w:tr>
      <w:tr>
        <w:trPr>
          <w:trHeight w:val="5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5.4. Во всем ином, неоговоренном в настоящем договоре, Стороны руководствуются действующим законодательством РФ.</w:t>
            </w:r>
          </w:p>
        </w:tc>
      </w:tr>
      <w:tr>
        <w:trPr>
          <w:trHeight w:val="5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5.5. Настоящий договор вступает в силу с момента подписания и действует до полного выполнения Сторонами своих обязательств по настоящему договору.</w:t>
            </w:r>
          </w:p>
        </w:tc>
      </w:tr>
      <w:tr>
        <w:trPr>
          <w:trHeight w:val="2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5.6. Договор Сторонами прочитан, последствия заключаемой сделки сторонам известны.</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Макарова Лидия Михайловна (Кулакова Лидия Михайловна) (18.10.1989г.р., место рожд: гор. Чебоксары, адрес рег: 428022, Чувашская Респ - Чувашия, Чебоксары г, 50 лет Октября ул, д. 13, к. 1, кв. 53, СНИЛС10936880580, ИНН 212712447997, паспорт РФ серия 9711, номер 945900, выдан 16.02.2012, кем выдан Отделом УФМС России по Чувашской Республике в Калининском районе гор.Чебоксары, код подразделения 210-024)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Макаровой Лидии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1035" w:hRule="exact"/>
        </w:trPr>
        <w:tc>
          <w:tcPr>
            <w:tcW w:w="2835" w:type="dxa"/>
            <w:gridSpan w:val="3"/>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top"/>
          </w:tcPr>
          <w:p>
            <w:pPr>
              <w:wordWrap w:val="1"/>
              <w:jc w:val="both"/>
              <w:rPr>
                <w:rFonts w:ascii="Times New Roman" w:hAnsi="Times New Roman"/>
                <w:sz w:val="22"/>
                <w:szCs w:val="22"/>
              </w:rPr>
            </w:pPr>
            <w:r>
              <w:rPr>
                <w:rFonts w:ascii="Times New Roman" w:hAnsi="Times New Roman"/>
                <w:sz w:val="22"/>
                <w:szCs w:val="22"/>
              </w:rPr>
              <w:t>______________</w:t>
            </w:r>
          </w:p>
        </w:tc>
        <w:tc>
          <w:tcPr>
            <w:tcW w:w="2835" w:type="dxa"/>
            <w:gridSpan w:val="3"/>
            <w:shd w:val="clear" w:color="FFFFFF" w:fill="auto"/>
            <w:textDirection w:val="lrTb"/>
            <w:vAlign w:val="top"/>
          </w:tcPr>
          <w:p>
            <w:pPr>
              <w:wordWrap w:val="1"/>
              <w:jc w:val="both"/>
              <w:rPr>
                <w:rFonts w:ascii="Times New Roman" w:hAnsi="Times New Roman"/>
                <w:b/>
                <w:sz w:val="20"/>
                <w:szCs w:val="20"/>
              </w:rPr>
            </w:pPr>
          </w:p>
        </w:tc>
        <w:tc>
          <w:tcPr>
            <w:tcW w:w="2835" w:type="dxa"/>
            <w:gridSpan w:val="3"/>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____________________________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