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Хабибрахманов Рабис Раисович (03.02.1957г.р., место рожд: д. Старобаширово Чекмагушевского района Респ. Башкортостан, адрес рег: 450038, Башкортостан Респ, Уфа г, Первомайская ул, дом № 71, корпус 1, квартира 85, СНИЛС07462588594, ИНН 850600376150, паспорт РФ серия 8003, номер 451449, выдан 22.08.2002, кем выдан ЧЕКМАГУШЕВСКИМ РОВД РЕСП. БАШКОРТОСТАН, код подразделения 022-068),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30.03.2023г. по делу № А07-36950/2022,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28.09.2023г. по продаже имущества Хабибрахманова Рабиса Раисовича,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28.09.2023г. на сайте https://lot-online.ru/, и указана в Протоколе  от 28.09.2023г.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Хабибрахманов Рабис Раисович (03.02.1957г.р., место рожд: д. Старобаширово Чекмагушевского района Респ. Башкортостан, адрес рег: 450038, Башкортостан Респ, Уфа г, Первомайская ул, дом № 71, корпус 1, квартира 85, СНИЛС07462588594, ИНН 850600376150, паспорт РФ серия 8003, номер 451449, выдан 22.08.2002, кем выдан ЧЕКМАГУШЕВСКИМ РОВД РЕСП. БАШКОРТОСТАН, код подразделения 022-068)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Хабибрахманова Рабиса Раисовича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