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Ерохина Юлия Леонидовна (Комаренко Юлия Леонидовна) (25.02.1991г.р., место рожд: с. Киндал Каргасокский р-н Томская обл., адрес рег: 634015, Томская обл, Томск г, Междугородная ул, дом № 22, квартира 18, СНИЛС13612341723, ИНН 700203615922, паспорт РФ серия 6918, номер 853580, выдан 21.03.2019, кем выдан УМВД России по Томской области, код подразделения 700-004),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24.05.2023г. по делу №А67-1760/2023,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04.10.2023г. по продаже имущества Ерохиной Юлии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Мазда Премаси, модель: Мазда Премаси, VIN: отсутствует, год изготовления: 2002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70 РВ 509703, Свидетельства о регистрации ТС 99 30 886627.</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Ерохина Юлия Леонидовна (Комаренко Юлия Леонидовна) (25.02.1991г.р., место рожд: с. Киндал Каргасокский р-н Томская обл., адрес рег: 634015, Томская обл, Томск г, Междугородная ул, дом № 22, квартира 18, СНИЛС13612341723, ИНН 700203615922, паспорт РФ серия 6918, номер 853580, выдан 21.03.2019, кем выдан УМВД России по Томской области, код подразделения 700-004)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Ерохиной Юлии Леонидовны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