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19DC8337" w:rsidR="00DF60FB" w:rsidRPr="007854FC" w:rsidRDefault="00776ACF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76ACF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«Алпен Тек» (ОГРН 1026300524711, ИНН 6311057522, адрес: 443110, обл. Самарская, г. Самара, ул. Ново-Садовая, д. 23, комната 4) (далее -Должник), в лице конкурсного управляющего Новоселова Дмитрия Владимировича (ИНН 890409372776, СНИЛС 122-370-992 38, рег. номер: 21432, адрес для направления корреспонденции: 625022, г. Тюмень, а/я 4132), члена Саморегулируемой организации ассоциации арбитражных управляющих «Синергия» (ОГРН 1112300002330, ИНН 2308980067, адрес: 350063, Краснодарский край, г. Краснодар, ул. Комсомольская, д. 45, оф. 11) (далее – КУ), действующего на основании Решения Арбитражного суда Самарской области от 29.09.2020 г. по делу № А55-2055/2020 и Определения Арбитражного суда Самарской области от 04.08.2022 г. по делу № А55-2055/2020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B35D9F" w:rsidRPr="00B35D9F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 w:rsidR="00B35D9F" w:rsidRPr="00B35D9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70C67533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76ACF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B35D9F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E3B7A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B35D9F">
        <w:rPr>
          <w:rFonts w:ascii="Times New Roman" w:eastAsia="Calibri" w:hAnsi="Times New Roman" w:cs="Times New Roman"/>
          <w:sz w:val="18"/>
          <w:szCs w:val="18"/>
        </w:rPr>
        <w:t>14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B35D9F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цать)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B35D9F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B35D9F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16C62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B35D9F" w:rsidRPr="00B35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1 229 436,00</w:t>
      </w:r>
      <w:r w:rsidR="00B35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3712E2E" w14:textId="36504F44" w:rsidR="000E3B7A" w:rsidRPr="007854FC" w:rsidRDefault="000E3B7A" w:rsidP="000E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подлежит единым лотом следующее имущество, находящееся по адресу: Самарская обл., р-н. Безенчукский, пгт. Безенчук, ул. Мелиораторов, д. 1 (далее – Имущество, Лот), начальная цена (далее – нач. цена) НДС не облагается: </w:t>
      </w:r>
      <w:r w:rsidR="00776ACF" w:rsidRPr="00776AC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Лот №1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</w:t>
      </w:r>
      <w:bookmarkStart w:id="2" w:name="_Hlk81564877"/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Здание производственного назначения лит. ЖЖ1Ж3, площадь: 160,4 кв. м, назначение: нежилое, количество этажей: 1, в том числе подземных этажей: 0, КН: 63:12:1401034:510;  Земельный участок, площадь: 6965 кв. м, категория земель: земли населенных пунктов, виды разрешенного использования: под зданием производственного назначения и асфальтобетонным покрытием, КН: 63:12:1401034:120;  Асфальтобетонное покрытие лит. Б1, площадь: 540 кв. м, назначение: иное сооружение, КН: 63:12:1401034:509; Асфальтобетонное покрытие лит. Б, площадь: 2360 кв. м, назначение: нежилое, КН: 63:12:1401034:511, </w:t>
      </w:r>
      <w:r w:rsidR="00776ACF" w:rsidRPr="00776AC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нач. цена Лота №1 – </w:t>
      </w:r>
      <w:r w:rsidR="00B35D9F" w:rsidRPr="00B35D9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3 322 800,00 </w:t>
      </w:r>
      <w:r w:rsidR="00776ACF" w:rsidRPr="00776AC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руб</w:t>
      </w:r>
      <w:bookmarkEnd w:id="2"/>
      <w:r w:rsidR="00776ACF" w:rsidRPr="00776AC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.</w:t>
      </w:r>
      <w:r w:rsidR="00776ACF" w:rsidRPr="00776ACF">
        <w:rPr>
          <w:rFonts w:ascii="Calibri" w:eastAsia="Calibri" w:hAnsi="Calibri" w:cs="Times New Roman"/>
          <w:color w:val="000000"/>
        </w:rPr>
        <w:t xml:space="preserve"> 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>Ограничения (обременения) Имущества: залог (ипотека) в пользу АО «АК Банк», запрещение регистрации.</w:t>
      </w:r>
      <w:r w:rsidR="00776ACF" w:rsidRPr="00776ACF">
        <w:rPr>
          <w:rFonts w:ascii="Calibri" w:eastAsia="Calibri" w:hAnsi="Calibri" w:cs="Times New Roman"/>
        </w:rPr>
        <w:t xml:space="preserve"> 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>Подробный перечень имущества размещен в Едином федеральном реестре сведений о банкротстве по адресу http://fedresurs.ru/, а также на сайте ЭП</w:t>
      </w:r>
      <w:r w:rsidRPr="00D55020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61C30636" w14:textId="77777777" w:rsidR="00776ACF" w:rsidRDefault="00776ACF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76ACF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по тел.: +7(919)808-28-56, с документами в отношении Лота у ОТ: pf@auction-house.ru, Харланова Наталья тел. 8(927)208-21-43, Соболькова Елена 8(927)208-15-34. </w:t>
      </w:r>
    </w:p>
    <w:p w14:paraId="57650F6B" w14:textId="69B50D10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6E8746" w14:textId="4317BA72" w:rsidR="00E436D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76ACF" w:rsidRPr="00776ACF">
        <w:rPr>
          <w:rFonts w:ascii="Times New Roman" w:eastAsia="Calibri" w:hAnsi="Times New Roman" w:cs="Times New Roman"/>
          <w:bCs/>
          <w:sz w:val="18"/>
          <w:szCs w:val="18"/>
        </w:rPr>
        <w:t>р/с 40702810524220003905 в Филиале ПАО «БАНК УРАЛСИБ» в г. Екатеринбург, к/с 30101810165770000446, БИК 046577446.</w:t>
      </w:r>
    </w:p>
    <w:p w14:paraId="07192E8F" w14:textId="7E462925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776AC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B7A"/>
    <w:rsid w:val="000F4C3F"/>
    <w:rsid w:val="000F6CB4"/>
    <w:rsid w:val="001639DC"/>
    <w:rsid w:val="001864C6"/>
    <w:rsid w:val="001865AA"/>
    <w:rsid w:val="00193FF0"/>
    <w:rsid w:val="001B44AF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70113"/>
    <w:rsid w:val="003924A6"/>
    <w:rsid w:val="0040558A"/>
    <w:rsid w:val="004114C7"/>
    <w:rsid w:val="00426576"/>
    <w:rsid w:val="00466664"/>
    <w:rsid w:val="00475A27"/>
    <w:rsid w:val="0051030A"/>
    <w:rsid w:val="005445F2"/>
    <w:rsid w:val="00544F76"/>
    <w:rsid w:val="005613B3"/>
    <w:rsid w:val="00577E97"/>
    <w:rsid w:val="005851A8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20978"/>
    <w:rsid w:val="007603DD"/>
    <w:rsid w:val="0077365D"/>
    <w:rsid w:val="00776ACF"/>
    <w:rsid w:val="007854FC"/>
    <w:rsid w:val="007D7CF3"/>
    <w:rsid w:val="0087324C"/>
    <w:rsid w:val="00887B9B"/>
    <w:rsid w:val="008A25AB"/>
    <w:rsid w:val="008E3A83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B16C62"/>
    <w:rsid w:val="00B35D9F"/>
    <w:rsid w:val="00B67452"/>
    <w:rsid w:val="00B71685"/>
    <w:rsid w:val="00BA7A7C"/>
    <w:rsid w:val="00BB08B5"/>
    <w:rsid w:val="00BE6D25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436DC"/>
    <w:rsid w:val="00E476E0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3</cp:revision>
  <dcterms:created xsi:type="dcterms:W3CDTF">2023-09-29T10:05:00Z</dcterms:created>
  <dcterms:modified xsi:type="dcterms:W3CDTF">2023-09-29T10:08:00Z</dcterms:modified>
</cp:coreProperties>
</file>