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Вихорева Наталья Рудольфовна (19.10.1973г.р., место рожд: Курганская область г. Шадринск, адрес рег: 628408, Ханты-Мансийский Автономный округ - Югра АО, Сургут г, СОТ-57 Лето , участок № 316, СНИЛС06734679300, ИНН 450200130024, паспорт РФ серия 6718, номер 770758, выдан 07.11.2018, кем выдан УМВД России по Ханты-мансийскому автономному округу - Югре, код подразделения 860-003),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22.05.2023г. по делу №А75-4152/2023,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Вихоревой Натальи Рудольфовны,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МЕРСЕДЕС-БЕНЦ C230 COMPRESSOR, модель: МЕРСЕДЕС-БЕНЦ C230 COMPRESSOR, VIN: WDB2037401A662018,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Вихорева Наталья Рудольфовна (19.10.1973г.р., место рожд: Курганская область г. Шадринск, адрес рег: 628408, Ханты-Мансийский Автономный округ - Югра АО, Сургут г, СОТ-57 Лето , участок № 316, СНИЛС06734679300, ИНН 450200130024, паспорт РФ серия 6718, номер 770758, выдан 07.11.2018, кем выдан УМВД России по Ханты-мансийскому автономному округу - Югре, код подразделения 860-003)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Вихоревой Натальи Рудольфовны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