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2158FBC5" w:rsidR="006802F2" w:rsidRPr="003502EA" w:rsidRDefault="003502E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02E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502E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502E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502E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35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35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35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3502E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3502EA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3502EA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</w:t>
      </w:r>
      <w:r w:rsidR="00AD7422" w:rsidRPr="003502EA">
        <w:rPr>
          <w:rFonts w:ascii="Times New Roman" w:hAnsi="Times New Roman" w:cs="Times New Roman"/>
          <w:sz w:val="24"/>
          <w:szCs w:val="24"/>
        </w:rPr>
        <w:t>)</w:t>
      </w:r>
      <w:r w:rsidR="006F1158"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3502E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3502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3502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3502E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2EA">
        <w:rPr>
          <w:rFonts w:ascii="Times New Roman" w:hAnsi="Times New Roman" w:cs="Times New Roman"/>
          <w:b/>
          <w:bCs/>
          <w:sz w:val="24"/>
          <w:szCs w:val="24"/>
        </w:rPr>
        <w:t>2030208999</w:t>
      </w:r>
      <w:r w:rsidRPr="003502E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502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502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502EA">
        <w:rPr>
          <w:rFonts w:ascii="Times New Roman" w:hAnsi="Times New Roman" w:cs="Times New Roman"/>
          <w:sz w:val="24"/>
          <w:szCs w:val="24"/>
        </w:rPr>
      </w:r>
      <w:r w:rsidRPr="003502EA">
        <w:rPr>
          <w:rFonts w:ascii="Times New Roman" w:hAnsi="Times New Roman" w:cs="Times New Roman"/>
          <w:sz w:val="24"/>
          <w:szCs w:val="24"/>
        </w:rPr>
        <w:fldChar w:fldCharType="separate"/>
      </w:r>
      <w:r w:rsidRPr="003502EA">
        <w:rPr>
          <w:rFonts w:ascii="Times New Roman" w:hAnsi="Times New Roman" w:cs="Times New Roman"/>
          <w:sz w:val="24"/>
          <w:szCs w:val="24"/>
        </w:rPr>
        <w:t>«Коммерсантъ»</w:t>
      </w:r>
      <w:r w:rsidRPr="003502EA">
        <w:rPr>
          <w:rFonts w:ascii="Times New Roman" w:hAnsi="Times New Roman" w:cs="Times New Roman"/>
          <w:sz w:val="24"/>
          <w:szCs w:val="24"/>
        </w:rPr>
        <w:fldChar w:fldCharType="end"/>
      </w:r>
      <w:r w:rsidRPr="003502EA">
        <w:rPr>
          <w:rFonts w:ascii="Times New Roman" w:hAnsi="Times New Roman" w:cs="Times New Roman"/>
          <w:sz w:val="24"/>
          <w:szCs w:val="24"/>
        </w:rPr>
        <w:t xml:space="preserve"> №93(7538) от 27.05.2023</w:t>
      </w:r>
      <w:r w:rsidR="00AD7422"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3502E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3502E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3502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2B6C34A" w14:textId="09DD1C7A" w:rsidR="003502EA" w:rsidRPr="003502EA" w:rsidRDefault="003502E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EA"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3502EA">
        <w:rPr>
          <w:rFonts w:ascii="Times New Roman" w:hAnsi="Times New Roman" w:cs="Times New Roman"/>
          <w:iCs/>
          <w:sz w:val="24"/>
          <w:szCs w:val="24"/>
          <w:lang w:eastAsia="ru-RU"/>
        </w:rPr>
        <w:t>ООО «Центр Строительных Технологий - Гермес», ИНН 7725714728, солидарно с Борисовым Юрием Николаевичем, КД 300812/02-К от 30.08.2012, определения АС г. Москвы от 13.05.2021 по делу № А40-237648/18-174-310 о включении в РТК третьей очереди, от 27.01.2021 по делу А40-154698/20-177-292 о включении в РТК третьей очереди, находятся в процедуре банкротства (442</w:t>
      </w:r>
      <w:r w:rsidRPr="003502E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3502EA">
        <w:rPr>
          <w:rFonts w:ascii="Times New Roman" w:hAnsi="Times New Roman" w:cs="Times New Roman"/>
          <w:iCs/>
          <w:sz w:val="24"/>
          <w:szCs w:val="24"/>
          <w:lang w:eastAsia="ru-RU"/>
        </w:rPr>
        <w:t>708</w:t>
      </w:r>
      <w:r w:rsidRPr="003502E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3502EA">
        <w:rPr>
          <w:rFonts w:ascii="Times New Roman" w:hAnsi="Times New Roman" w:cs="Times New Roman"/>
          <w:iCs/>
          <w:sz w:val="24"/>
          <w:szCs w:val="24"/>
          <w:lang w:eastAsia="ru-RU"/>
        </w:rPr>
        <w:t>684,19 руб.)</w:t>
      </w:r>
      <w:r w:rsidRPr="003502E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3502EA" w:rsidRPr="0035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502EA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18</cp:revision>
  <cp:lastPrinted>2016-10-26T09:11:00Z</cp:lastPrinted>
  <dcterms:created xsi:type="dcterms:W3CDTF">2018-08-16T09:05:00Z</dcterms:created>
  <dcterms:modified xsi:type="dcterms:W3CDTF">2023-10-24T14:28:00Z</dcterms:modified>
</cp:coreProperties>
</file>