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3"/>
        <w:gridCol w:w="945"/>
        <w:gridCol w:w="946"/>
        <w:gridCol w:w="945"/>
        <w:gridCol w:w="945"/>
        <w:gridCol w:w="946"/>
        <w:gridCol w:w="945"/>
        <w:gridCol w:w="945"/>
        <w:gridCol w:w="946"/>
        <w:gridCol w:w="945"/>
        <w:gridCol w:w="943"/>
      </w:tblGrid>
      <w:tr>
        <w:trPr>
          <w:trHeight w:val="31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Яковлев Иван Георгиевич (04.12.1989г.р., место рожд: гор. Бугуруслан Оренбургской области, адрес рег: 461631, Оренбургская обл, Бугуруслан г, Шевченко ул, дом № 99, СНИЛС12620801820, ИНН 560205946376, паспорт РФ серия 5309, номер 901742, выдан 29.12.2009, кем выдан Отделом УФМС России по Оренбургской области в г. Бугуруслане, код подразделения 560-010),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03.08.2023г. по делу №А47-8619/2023, именуемый в дальнейшем «Продавец», с одной стороны, и</w:t>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07.12.2023г. по продаже имущества Яковлева Ивана Георгиевича,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RIO, модель: KIA RIO, VIN: Z94C241BBJR025782, год изготовления: 2017 (далее - Имущество).</w:t>
            </w:r>
          </w:p>
        </w:tc>
      </w:tr>
      <w:tr>
        <w:trPr>
          <w:trHeight w:val="300" w:hRule="exac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9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r>
      <w:tr>
        <w:trPr>
          <w:trHeight w:val="130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kern w:val="0"/>
                <w:sz w:val="20"/>
                <w:szCs w:val="20"/>
              </w:rPr>
            </w:pPr>
            <w:r>
              <w:rPr>
                <w:rFonts w:ascii="Times New Roman" w:hAnsi="Times New Roman"/>
                <w:kern w:val="0"/>
                <w:sz w:val="20"/>
                <w:szCs w:val="20"/>
              </w:rPr>
              <w:t>Получатель: Яковлев Иван Георгиевич (ИНН 560205946376),</w:t>
            </w:r>
          </w:p>
          <w:p>
            <w:pPr>
              <w:pStyle w:val="Normal"/>
              <w:widowControl w:val="false"/>
              <w:suppressAutoHyphens w:val="true"/>
              <w:bidi w:val="0"/>
              <w:spacing w:lineRule="auto" w:line="240" w:before="0" w:after="0"/>
              <w:jc w:val="left"/>
              <w:rPr>
                <w:rFonts w:ascii="Times New Roman" w:hAnsi="Times New Roman"/>
                <w:kern w:val="0"/>
                <w:sz w:val="20"/>
                <w:szCs w:val="20"/>
              </w:rPr>
            </w:pPr>
            <w:r>
              <w:rPr>
                <w:rFonts w:ascii="Times New Roman" w:hAnsi="Times New Roman"/>
                <w:kern w:val="0"/>
                <w:sz w:val="20"/>
                <w:szCs w:val="20"/>
              </w:rPr>
              <w:t>ИНН БАНКА 4401116480,</w:t>
            </w:r>
          </w:p>
          <w:p>
            <w:pPr>
              <w:pStyle w:val="Normal"/>
              <w:widowControl w:val="false"/>
              <w:suppressAutoHyphens w:val="true"/>
              <w:bidi w:val="0"/>
              <w:spacing w:lineRule="auto" w:line="240" w:before="0" w:after="0"/>
              <w:jc w:val="left"/>
              <w:rPr>
                <w:rFonts w:ascii="Times New Roman" w:hAnsi="Times New Roman"/>
                <w:kern w:val="0"/>
                <w:sz w:val="20"/>
                <w:szCs w:val="20"/>
              </w:rPr>
            </w:pPr>
            <w:r>
              <w:rPr>
                <w:rFonts w:ascii="Times New Roman" w:hAnsi="Times New Roman"/>
                <w:kern w:val="0"/>
                <w:sz w:val="20"/>
                <w:szCs w:val="20"/>
              </w:rPr>
              <w:t>Р/СЧ 40817810550170282540,</w:t>
            </w:r>
          </w:p>
          <w:p>
            <w:pPr>
              <w:pStyle w:val="Normal"/>
              <w:widowControl w:val="false"/>
              <w:suppressAutoHyphens w:val="true"/>
              <w:bidi w:val="0"/>
              <w:spacing w:lineRule="auto" w:line="240" w:before="0" w:after="0"/>
              <w:jc w:val="left"/>
              <w:rPr>
                <w:rFonts w:ascii="Times New Roman" w:hAnsi="Times New Roman"/>
                <w:kern w:val="0"/>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left"/>
              <w:rPr>
                <w:rFonts w:ascii="Times New Roman" w:hAnsi="Times New Roman"/>
                <w:kern w:val="0"/>
                <w:sz w:val="20"/>
                <w:szCs w:val="20"/>
              </w:rPr>
            </w:pPr>
            <w:r>
              <w:rPr>
                <w:rFonts w:ascii="Times New Roman" w:hAnsi="Times New Roman"/>
                <w:kern w:val="0"/>
                <w:sz w:val="20"/>
                <w:szCs w:val="20"/>
              </w:rPr>
              <w:t>КР/СЧ 30101810150040000763,</w:t>
            </w:r>
          </w:p>
          <w:p>
            <w:pPr>
              <w:pStyle w:val="Normal"/>
              <w:widowControl w:val="false"/>
              <w:suppressAutoHyphens w:val="true"/>
              <w:bidi w:val="0"/>
              <w:spacing w:lineRule="auto" w:line="240" w:before="0" w:after="0"/>
              <w:jc w:val="left"/>
              <w:rPr>
                <w:rFonts w:ascii="Times New Roman" w:hAnsi="Times New Roman"/>
                <w:kern w:val="0"/>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Яковлев Иван Георгиевич (04.12.1989г.р., место рожд: гор. Бугуруслан Оренбургской области, адрес рег: 461631, Оренбургская обл, Бугуруслан г, Шевченко ул, дом № 99, СНИЛС12620801820, ИНН 560205946376, паспорт РФ серия 5309, номер 901742, выдан 29.12.2009, кем выдан Отделом УФМС России по Оренбургской области в г. Бугуруслане, код подразделения 560-010)</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9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kern w:val="0"/>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98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kern w:val="0"/>
                <w:sz w:val="20"/>
                <w:szCs w:val="20"/>
              </w:rPr>
            </w:pPr>
            <w:r>
              <w:rPr>
                <w:rFonts w:ascii="Times New Roman" w:hAnsi="Times New Roman"/>
                <w:kern w:val="0"/>
                <w:sz w:val="20"/>
                <w:szCs w:val="20"/>
              </w:rPr>
              <w:t>Получатель: Яковлев Иван Георгиевич (ИНН 560205946376),</w:t>
            </w:r>
          </w:p>
          <w:p>
            <w:pPr>
              <w:pStyle w:val="Normal"/>
              <w:widowControl w:val="false"/>
              <w:suppressAutoHyphens w:val="true"/>
              <w:bidi w:val="0"/>
              <w:spacing w:lineRule="auto" w:line="240" w:before="0" w:after="0"/>
              <w:jc w:val="both"/>
              <w:rPr>
                <w:rFonts w:ascii="Times New Roman" w:hAnsi="Times New Roman"/>
                <w:kern w:val="0"/>
                <w:sz w:val="20"/>
                <w:szCs w:val="20"/>
              </w:rPr>
            </w:pPr>
            <w:r>
              <w:rPr>
                <w:rFonts w:ascii="Times New Roman" w:hAnsi="Times New Roman"/>
                <w:kern w:val="0"/>
                <w:sz w:val="20"/>
                <w:szCs w:val="20"/>
              </w:rPr>
              <w:t>ИНН БАНКА 4401116480,</w:t>
            </w:r>
          </w:p>
          <w:p>
            <w:pPr>
              <w:pStyle w:val="Normal"/>
              <w:widowControl w:val="false"/>
              <w:suppressAutoHyphens w:val="true"/>
              <w:bidi w:val="0"/>
              <w:spacing w:lineRule="auto" w:line="240" w:before="0" w:after="0"/>
              <w:jc w:val="both"/>
              <w:rPr>
                <w:rFonts w:ascii="Times New Roman" w:hAnsi="Times New Roman"/>
                <w:kern w:val="0"/>
                <w:sz w:val="20"/>
                <w:szCs w:val="20"/>
              </w:rPr>
            </w:pPr>
            <w:r>
              <w:rPr>
                <w:rFonts w:ascii="Times New Roman" w:hAnsi="Times New Roman"/>
                <w:kern w:val="0"/>
                <w:sz w:val="20"/>
                <w:szCs w:val="20"/>
              </w:rPr>
              <w:t>Р/СЧ 40817810550170282540,</w:t>
            </w:r>
          </w:p>
          <w:p>
            <w:pPr>
              <w:pStyle w:val="Normal"/>
              <w:widowControl w:val="false"/>
              <w:suppressAutoHyphens w:val="true"/>
              <w:bidi w:val="0"/>
              <w:spacing w:lineRule="auto" w:line="240" w:before="0" w:after="0"/>
              <w:jc w:val="both"/>
              <w:rPr>
                <w:rFonts w:ascii="Times New Roman" w:hAnsi="Times New Roman"/>
                <w:kern w:val="0"/>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both"/>
              <w:rPr>
                <w:rFonts w:ascii="Times New Roman" w:hAnsi="Times New Roman"/>
                <w:kern w:val="0"/>
                <w:sz w:val="20"/>
                <w:szCs w:val="20"/>
              </w:rPr>
            </w:pPr>
            <w:r>
              <w:rPr>
                <w:rFonts w:ascii="Times New Roman" w:hAnsi="Times New Roman"/>
                <w:kern w:val="0"/>
                <w:sz w:val="20"/>
                <w:szCs w:val="20"/>
              </w:rPr>
              <w:t>КР/СЧ 30101810150040000763,</w:t>
            </w:r>
          </w:p>
          <w:p>
            <w:pPr>
              <w:pStyle w:val="Normal"/>
              <w:widowControl w:val="false"/>
              <w:suppressAutoHyphens w:val="true"/>
              <w:bidi w:val="0"/>
              <w:spacing w:lineRule="auto" w:line="240" w:before="0" w:after="0"/>
              <w:jc w:val="both"/>
              <w:rPr>
                <w:rFonts w:ascii="Times New Roman" w:hAnsi="Times New Roman"/>
                <w:kern w:val="0"/>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Яковлева Ивана Георгиевича</w:t>
            </w:r>
          </w:p>
        </w:tc>
        <w:tc>
          <w:tcPr>
            <w:tcW w:w="946"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LibreOffice/7.4.0.3$Windows_X86_64 LibreOffice_project/f85e47c08ddd19c015c0114a68350214f7066f5a</Application>
  <AppVersion>15.0000</AppVersion>
  <Pages>3</Pages>
  <Words>1194</Words>
  <Characters>8499</Characters>
  <CharactersWithSpaces>10143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2023-10-30T15:01:49Z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