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09834D07" w:rsidR="00361B5A" w:rsidRDefault="00361B5A" w:rsidP="00361B5A">
      <w:pPr>
        <w:spacing w:before="120" w:after="120"/>
        <w:jc w:val="both"/>
        <w:rPr>
          <w:color w:val="000000"/>
        </w:rPr>
      </w:pPr>
      <w:r w:rsidRPr="00361B5A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361B5A">
        <w:rPr>
          <w:rFonts w:eastAsia="Calibri"/>
          <w:lang w:eastAsia="en-US"/>
        </w:rPr>
        <w:t>e-mail</w:t>
      </w:r>
      <w:proofErr w:type="spellEnd"/>
      <w:r w:rsidR="001579E1">
        <w:rPr>
          <w:rFonts w:eastAsia="Calibri"/>
          <w:lang w:eastAsia="en-US"/>
        </w:rPr>
        <w:t xml:space="preserve"> </w:t>
      </w:r>
      <w:r w:rsidR="001579E1" w:rsidRPr="001579E1">
        <w:rPr>
          <w:rFonts w:eastAsia="Calibri"/>
          <w:lang w:eastAsia="en-US"/>
        </w:rPr>
        <w:t>ersh@auction-house.ru), действующее на основании договора с Акционерным обществом «РУССКИЙ СТРОИТЕЛЬНЫЙ БАНК» (АО «РУССТРОЙБАНК») (адрес регистрации: 109004, г. Москва, Большой Дровяной переулок, д. 7/9, стр. 1, ИНН 7744001514, ОГРН 1027739327880) конкурсным управляющим (ликвидатором) которого на основании решения Арбитражного суда г. Москвы от 15 марта 2016 г. по делу № А40-252156/2015 является государственная корпорация «Агентство по страхованию вкладов» (109240, г. Москва, ул. Высоцкого, д. 4</w:t>
      </w:r>
      <w:r w:rsidRPr="00361B5A">
        <w:rPr>
          <w:rFonts w:eastAsia="Calibri"/>
          <w:lang w:eastAsia="en-US"/>
        </w:rPr>
        <w:t>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1579E1" w:rsidRPr="001579E1">
        <w:t>сообщение 02030209071 в газете АО «Коммерсантъ» №93(7538) от 27.05.2023 г.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</w:t>
      </w:r>
      <w:r w:rsidR="001579E1">
        <w:t xml:space="preserve"> </w:t>
      </w:r>
      <w:r w:rsidR="00CD11F9" w:rsidRPr="00CD11F9">
        <w:t>12.10.2023 по 14.10.2023</w:t>
      </w:r>
      <w:r>
        <w:t xml:space="preserve"> заключе</w:t>
      </w:r>
      <w:r w:rsidR="001579E1">
        <w:t>н</w:t>
      </w:r>
      <w:r>
        <w:rPr>
          <w:color w:val="000000"/>
        </w:rPr>
        <w:t xml:space="preserve"> следующи</w:t>
      </w:r>
      <w:r w:rsidR="001579E1">
        <w:rPr>
          <w:color w:val="000000"/>
        </w:rPr>
        <w:t>й</w:t>
      </w:r>
      <w:r>
        <w:rPr>
          <w:color w:val="000000"/>
        </w:rPr>
        <w:t xml:space="preserve"> догово</w:t>
      </w:r>
      <w:r w:rsidR="001579E1">
        <w:rPr>
          <w:color w:val="000000"/>
        </w:rPr>
        <w:t>р</w:t>
      </w:r>
      <w: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3E7444" w:rsidRPr="001579E1" w14:paraId="2CA2CA92" w14:textId="77777777" w:rsidTr="00AD083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08E28226" w:rsidR="003E7444" w:rsidRPr="003E7444" w:rsidRDefault="003E7444" w:rsidP="003E744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44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5EE0EFF4" w:rsidR="003E7444" w:rsidRPr="003E7444" w:rsidRDefault="003E7444" w:rsidP="003E744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44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2023-11880/123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35867F32" w:rsidR="003E7444" w:rsidRPr="003E7444" w:rsidRDefault="003E7444" w:rsidP="003E744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44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27.10.2023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09AFA91C" w:rsidR="003E7444" w:rsidRPr="003E7444" w:rsidRDefault="003E7444" w:rsidP="003E744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444">
              <w:rPr>
                <w:rFonts w:ascii="Times New Roman" w:hAnsi="Times New Roman" w:cs="Times New Roman"/>
                <w:sz w:val="24"/>
                <w:szCs w:val="24"/>
              </w:rPr>
              <w:t>465 321,00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52486760" w:rsidR="003E7444" w:rsidRPr="003E7444" w:rsidRDefault="003E7444" w:rsidP="003E744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74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Лукьянчиков</w:t>
            </w:r>
            <w:proofErr w:type="spellEnd"/>
            <w:r w:rsidRPr="003E74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Евгений Николаевич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Default="007444C0" w:rsidP="00FC7902"/>
    <w:p w14:paraId="7D5CD924" w14:textId="77777777" w:rsidR="007763A1" w:rsidRPr="00FC7902" w:rsidRDefault="007763A1" w:rsidP="00FC7902"/>
    <w:sectPr w:rsidR="007763A1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F57EF"/>
    <w:rsid w:val="001579E1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E7444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763A1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CB7B56"/>
    <w:rsid w:val="00CD11F9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2023-10-31T07:05:00Z</dcterms:created>
  <dcterms:modified xsi:type="dcterms:W3CDTF">2023-10-31T07:05:00Z</dcterms:modified>
</cp:coreProperties>
</file>