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A6F1" w14:textId="77777777" w:rsidR="00DC7652" w:rsidRPr="00885A8F" w:rsidRDefault="00DC7652" w:rsidP="00E32CCC">
      <w:pPr>
        <w:shd w:val="clear" w:color="auto" w:fill="FFFFFF"/>
        <w:jc w:val="center"/>
        <w:rPr>
          <w:sz w:val="23"/>
          <w:szCs w:val="23"/>
        </w:rPr>
      </w:pPr>
      <w:r w:rsidRPr="00885A8F">
        <w:rPr>
          <w:b/>
          <w:bCs/>
          <w:sz w:val="23"/>
          <w:szCs w:val="23"/>
        </w:rPr>
        <w:t>Договор купли-продажи</w:t>
      </w:r>
    </w:p>
    <w:p w14:paraId="5E1C313C" w14:textId="77777777" w:rsidR="00DC7652" w:rsidRPr="00885A8F" w:rsidRDefault="00DC7652" w:rsidP="00E32CCC">
      <w:pPr>
        <w:pStyle w:val="af7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A99A1C9" w14:textId="73C9A420" w:rsidR="00DC7652" w:rsidRPr="00885A8F" w:rsidRDefault="00DC7652" w:rsidP="00E32CCC">
      <w:pPr>
        <w:pStyle w:val="a3"/>
        <w:ind w:firstLine="0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г. Москва</w:t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  <w:t xml:space="preserve">  </w:t>
      </w:r>
      <w:r w:rsidR="00E32CCC">
        <w:rPr>
          <w:rFonts w:ascii="Times New Roman" w:hAnsi="Times New Roman"/>
          <w:sz w:val="23"/>
          <w:szCs w:val="23"/>
          <w:lang w:val="ru-RU"/>
        </w:rPr>
        <w:t xml:space="preserve">     </w:t>
      </w:r>
      <w:r w:rsidRPr="00885A8F">
        <w:rPr>
          <w:rFonts w:ascii="Times New Roman" w:hAnsi="Times New Roman"/>
          <w:sz w:val="23"/>
          <w:szCs w:val="23"/>
        </w:rPr>
        <w:t xml:space="preserve">      «__» ____________ 2023 г.</w:t>
      </w:r>
    </w:p>
    <w:p w14:paraId="72E097CC" w14:textId="77777777" w:rsidR="00DC7652" w:rsidRPr="00885A8F" w:rsidRDefault="00DC7652" w:rsidP="00E32CCC">
      <w:pPr>
        <w:ind w:firstLine="709"/>
        <w:jc w:val="both"/>
        <w:rPr>
          <w:b/>
          <w:bCs/>
          <w:sz w:val="23"/>
          <w:szCs w:val="23"/>
        </w:rPr>
      </w:pPr>
    </w:p>
    <w:p w14:paraId="2D2C7003" w14:textId="77777777" w:rsidR="00DC7652" w:rsidRPr="00885A8F" w:rsidRDefault="00DC7652" w:rsidP="00E32CCC">
      <w:pPr>
        <w:widowControl w:val="0"/>
        <w:ind w:firstLine="567"/>
        <w:jc w:val="both"/>
        <w:rPr>
          <w:b/>
          <w:bCs/>
          <w:sz w:val="23"/>
          <w:szCs w:val="23"/>
        </w:rPr>
      </w:pPr>
      <w:r w:rsidRPr="00885A8F">
        <w:rPr>
          <w:sz w:val="23"/>
          <w:szCs w:val="23"/>
        </w:rPr>
        <w:t>Мы,</w:t>
      </w:r>
      <w:r w:rsidRPr="00885A8F">
        <w:rPr>
          <w:b/>
          <w:bCs/>
          <w:sz w:val="23"/>
          <w:szCs w:val="23"/>
        </w:rPr>
        <w:t xml:space="preserve"> </w:t>
      </w:r>
      <w:r w:rsidRPr="00885A8F">
        <w:rPr>
          <w:sz w:val="23"/>
          <w:szCs w:val="23"/>
        </w:rPr>
        <w:t>______________________________________, именуемый в дальнейшем «ПРОДАВЕЦ»,</w:t>
      </w:r>
    </w:p>
    <w:p w14:paraId="1CD1E328" w14:textId="77777777" w:rsidR="00DC7652" w:rsidRPr="00885A8F" w:rsidRDefault="00DC7652" w:rsidP="00E32CCC">
      <w:pPr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и</w:t>
      </w:r>
      <w:bookmarkStart w:id="0" w:name="_Hlk117862841"/>
      <w:r w:rsidRPr="00885A8F">
        <w:rPr>
          <w:sz w:val="23"/>
          <w:szCs w:val="23"/>
        </w:rPr>
        <w:t xml:space="preserve"> _____________________________________, именуемое в дальнейшем «ПОКУПАТЕЛЬ»</w:t>
      </w:r>
      <w:bookmarkEnd w:id="0"/>
      <w:r w:rsidRPr="00885A8F">
        <w:rPr>
          <w:sz w:val="23"/>
          <w:szCs w:val="23"/>
        </w:rPr>
        <w:t>, а вместе именуемые «Стороны», заключили настоящий договор (далее – Договор) о нижеследующем:</w:t>
      </w:r>
    </w:p>
    <w:p w14:paraId="3B04349F" w14:textId="77777777" w:rsidR="00DC7652" w:rsidRPr="00885A8F" w:rsidRDefault="00DC7652" w:rsidP="00E32CCC">
      <w:pPr>
        <w:pStyle w:val="a3"/>
        <w:rPr>
          <w:rFonts w:ascii="Times New Roman" w:hAnsi="Times New Roman"/>
          <w:sz w:val="23"/>
          <w:szCs w:val="23"/>
        </w:rPr>
      </w:pPr>
    </w:p>
    <w:p w14:paraId="2B638F5B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 ПРОДАВЕЦ обязуется передать в собственность, а ПОКУПАТЕЛЬ обязуется принять и оплатить в соответствии с условиями настоящего Договора следующие объекты недвижимого имущества (далее – Объекты недвижимости):</w:t>
      </w:r>
    </w:p>
    <w:p w14:paraId="257F5680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1.1. земельный участок с кадастровым номером: 21:03:010244:2, общей площадью 52403 кв.м., категория земель: земли населенных пунктов, виды разрешенного использования: для производственных нужд; расположенный по адресу: Чувашская Республика - Чувашия, г. Алатырь, ул. Пирогова, дом 2В.</w:t>
      </w:r>
    </w:p>
    <w:p w14:paraId="2126281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земельный участок обладает следующими обременениями и ограничениями:</w:t>
      </w:r>
    </w:p>
    <w:p w14:paraId="4FDBFD86" w14:textId="77777777" w:rsidR="00DC7652" w:rsidRPr="00885A8F" w:rsidRDefault="00DC7652" w:rsidP="00E32CCC">
      <w:pPr>
        <w:pStyle w:val="af9"/>
        <w:numPr>
          <w:ilvl w:val="0"/>
          <w:numId w:val="17"/>
        </w:numPr>
        <w:jc w:val="both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ограничения прав на земельный участок, предусмотренные статьей 56 Земельного кодекса Российской Федерации; срок действия: c 22.10.2019; реквизиты документа-основания: распоряжение от 23.08.2019 № 759-р; приложение к Распоряжению №759-р от 23.08.2019 от 23.08.2019 № 34.</w:t>
      </w:r>
    </w:p>
    <w:p w14:paraId="4599E65B" w14:textId="77777777" w:rsidR="00DC7652" w:rsidRPr="00885A8F" w:rsidRDefault="00DC7652" w:rsidP="00E32CCC">
      <w:pPr>
        <w:pStyle w:val="af9"/>
        <w:numPr>
          <w:ilvl w:val="0"/>
          <w:numId w:val="17"/>
        </w:numPr>
        <w:jc w:val="both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ограничения прав на земельный участок, предусмотренные статьей 56 Земельного кодекса Российской Федерации; срок действия: c 23.10.2019; реквизиты документа-основания: распоряжение от 23.08.2019 № 759-р выдан: Кабинет Министров Чувашской Республики.</w:t>
      </w:r>
    </w:p>
    <w:p w14:paraId="3C270162" w14:textId="77777777" w:rsidR="00DC7652" w:rsidRPr="00885A8F" w:rsidRDefault="00DC7652" w:rsidP="00E32CCC">
      <w:pPr>
        <w:pStyle w:val="af9"/>
        <w:numPr>
          <w:ilvl w:val="0"/>
          <w:numId w:val="17"/>
        </w:numPr>
        <w:jc w:val="both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ограничения прав на земельный участок, предусмотренные статьей 56 Земельного кодекса Российской Федерации; срок действия: c 21.11.2019; реквизиты документа-основания: распоряжение от 11.10.2019 № 895-р выдан: Кабинет министров ЧР; приложение к Распоряжению №895-р от 11.10.2019 от 11.10.2019 № 12 выдан: Кабинет министров ЧР; документ, воспроизводящий сведения, содержащиеся в решении об установлении или изменении границ зон с особыми условиями использования территорий от 29.12.2018 № б/н.</w:t>
      </w:r>
    </w:p>
    <w:p w14:paraId="3F6CDBA7" w14:textId="77777777" w:rsidR="00DC7652" w:rsidRPr="00885A8F" w:rsidRDefault="00DC7652" w:rsidP="00E32CCC">
      <w:pPr>
        <w:pStyle w:val="af9"/>
        <w:numPr>
          <w:ilvl w:val="0"/>
          <w:numId w:val="17"/>
        </w:numPr>
        <w:jc w:val="both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ограничения прав на земельный участок, предусмотренные статьей 56 Земельного кодекса Российской Федерации; срок действия: c 28.11.2019; реквизиты документа-основания: распоряжение от 09.10.2019 № 884-р выдан: Кабинет Министров Чувашской Республики.</w:t>
      </w:r>
    </w:p>
    <w:p w14:paraId="5BDF231F" w14:textId="77777777" w:rsidR="00AB6072" w:rsidRDefault="00AB6072" w:rsidP="00E32CCC">
      <w:pPr>
        <w:pStyle w:val="a3"/>
        <w:ind w:firstLine="709"/>
        <w:rPr>
          <w:rFonts w:ascii="Times New Roman" w:hAnsi="Times New Roman"/>
          <w:sz w:val="23"/>
          <w:szCs w:val="23"/>
          <w:lang w:val="ru-RU"/>
        </w:rPr>
      </w:pPr>
      <w:r w:rsidRPr="00AB6072">
        <w:rPr>
          <w:rFonts w:ascii="Times New Roman" w:hAnsi="Times New Roman"/>
          <w:sz w:val="23"/>
          <w:szCs w:val="23"/>
          <w:lang w:val="ru-RU"/>
        </w:rPr>
        <w:t>На земельном участке расположены здания, указанные в п. 1.2. – 1.8. настоящего договора, а также объекты недвижимости (газопроводы), не принадлежащие ПРОДАВЦУ: 21:03:010232:192, 21:03:000000:441, 21:03:000000:1916, 21:03:000000:1942.</w:t>
      </w:r>
    </w:p>
    <w:p w14:paraId="078BE69D" w14:textId="32575831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1.2. здание с кадастровым номером: 21:03:010232:174, общей площадью 15,5 кв.м., назначение: нежилое, наименование: проходная, этажей: 1; расположен по адресу: Чувашская Республика, г. Алатырь, ул. Пирогова, д. 2а.</w:t>
      </w:r>
    </w:p>
    <w:p w14:paraId="1D1AC2D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26B0A518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61BA430A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1.3. здание с кадастровым номером: 21:03:010232:179, общей площадью 9834 кв.м., назначение: нежилое, наименование: здание, этажей: 2; расположен по адресу: Чувашская Республика, г. Алатырь, ул. Пирогова, д. 2а.</w:t>
      </w:r>
    </w:p>
    <w:p w14:paraId="41AAAEC0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4BFEC69A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0815ED65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1.4. здание с кадастровым номером: 21:03:010232:185, общей площадью 405,4 кв.м., назначение: нежилое, наименование: бытовой корпус, этажей: 1; расположен по адресу: Чувашская Республика, г. Алатырь, ул. Пирогова, д. 2а.</w:t>
      </w:r>
    </w:p>
    <w:p w14:paraId="4C41014D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74DBB6FE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2C082E2D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lastRenderedPageBreak/>
        <w:t>1.5. здание с кадастровым номером: 21:03:010232:196, общей площадью 1804,7 кв.м., назначение: нежилое, наименование: вспомогательный корпус, котельная, компрессорный цех, этажей: 2; расположен по адресу: Чувашская Республика, г. Алатырь, ул. Пирогова, д. 2а.</w:t>
      </w:r>
    </w:p>
    <w:p w14:paraId="50E05095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488054F9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7E489D0F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1.6. здание с кадастровым номером: 21:03:010232:197, общей площадью 188,6 кв.м., назначение: нежилое, наименование: склад, этажей: 1; расположен по адресу: Чувашская Республика, г. Алатырь, ул. Пирогова, д. 2а.</w:t>
      </w:r>
    </w:p>
    <w:p w14:paraId="42BE4907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19045FB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57D7F47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1.7. здание с кадастровым номером: 21:03:010232:204, общей площадью 1361,7 кв.м., назначение: нежилое, наименование: административный корпус, этажей: 3; расположен по адресу: Чувашская Республика, г. Алатырь, ул. Пирогова, д. 2а.</w:t>
      </w:r>
    </w:p>
    <w:p w14:paraId="12C9AFE1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5E6D04E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17612A25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1.8. здание с кадастровым номером: 21:03:010232:211, общей площадью 25,3 кв.м., назначение: нежилое, наименование: тепловая подстанция, этажей: 1; расположен по адресу: Чувашская Республика, г. Алатырь, ул. Пирогова, д. 2а.</w:t>
      </w:r>
    </w:p>
    <w:p w14:paraId="059A9155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ПРОДАВЕЦ информирует ПОКУПАТЕЛЯ, что здание не обладает обременениями и ограничениями.</w:t>
      </w:r>
    </w:p>
    <w:p w14:paraId="15C60CB9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договора.</w:t>
      </w:r>
    </w:p>
    <w:p w14:paraId="69E2DA70" w14:textId="77777777" w:rsidR="00DC7652" w:rsidRPr="00885A8F" w:rsidRDefault="00DC7652" w:rsidP="00E32CCC">
      <w:pPr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 xml:space="preserve">2. ПОКУПАТЕЛЬ приобретает у ПРОДАВЦА Объекты недвижимости, указанные в п. 1 настоящего Договора, за общую сумму в размере </w:t>
      </w:r>
      <w:r w:rsidRPr="00885A8F">
        <w:rPr>
          <w:b/>
          <w:bCs/>
          <w:sz w:val="23"/>
          <w:szCs w:val="23"/>
        </w:rPr>
        <w:t>_________________ (_______________________)</w:t>
      </w:r>
      <w:r w:rsidRPr="00885A8F">
        <w:rPr>
          <w:sz w:val="23"/>
          <w:szCs w:val="23"/>
        </w:rPr>
        <w:t xml:space="preserve"> рублей.</w:t>
      </w:r>
    </w:p>
    <w:p w14:paraId="3EE2F499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 xml:space="preserve">3. Покупатель оплачивает общую сумму, указанную в п. 2 настоящего Договора, в следующем порядке: </w:t>
      </w:r>
    </w:p>
    <w:p w14:paraId="23CE595E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3.1. Оплата цены Договора производится путем перечисления денежных средств на счет ПРОДАВЦА.</w:t>
      </w:r>
    </w:p>
    <w:p w14:paraId="3E471F13" w14:textId="798A8BFF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 xml:space="preserve">3.2. </w:t>
      </w:r>
      <w:bookmarkStart w:id="1" w:name="_Ref486334738"/>
      <w:r w:rsidRPr="00885A8F">
        <w:rPr>
          <w:rFonts w:ascii="Times New Roman" w:hAnsi="Times New Roman"/>
          <w:sz w:val="23"/>
          <w:szCs w:val="23"/>
        </w:rPr>
        <w:t xml:space="preserve">Оплата Имущества (оставшейся части в размере ________ (____________) ________), осуществляется Покупателем единовременно, в полном объеме, в течение </w:t>
      </w:r>
      <w:r w:rsidR="00AB6072">
        <w:rPr>
          <w:rFonts w:ascii="Times New Roman" w:hAnsi="Times New Roman"/>
          <w:sz w:val="23"/>
          <w:szCs w:val="23"/>
          <w:lang w:val="ru-RU"/>
        </w:rPr>
        <w:t>10 (Десяти</w:t>
      </w:r>
      <w:r w:rsidRPr="00885A8F">
        <w:rPr>
          <w:rFonts w:ascii="Times New Roman" w:hAnsi="Times New Roman"/>
          <w:sz w:val="23"/>
          <w:szCs w:val="23"/>
        </w:rPr>
        <w:t>) рабочих дней со дня подписания Договора.</w:t>
      </w:r>
      <w:bookmarkEnd w:id="1"/>
    </w:p>
    <w:p w14:paraId="497FF105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3.3. Задаток, уплаченный Покупателем организатору торгов в форме аукциона _______________ на основании Договора о задатке от _________ № ____, в размере ________ (____________) ________ засчитывается в счет исполнения Покупателем обязанности по уплате по Договору.</w:t>
      </w:r>
    </w:p>
    <w:p w14:paraId="4C4E33D8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3.4. Датой исполнения обязательств Покупателя по оплате Имущества считается дата поступления денежных средств на счет Продавца.</w:t>
      </w:r>
    </w:p>
    <w:p w14:paraId="6F27B5F0" w14:textId="77777777" w:rsidR="00DC7652" w:rsidRPr="00885A8F" w:rsidRDefault="00DC7652" w:rsidP="00E32CCC">
      <w:pPr>
        <w:tabs>
          <w:tab w:val="left" w:pos="284"/>
        </w:tabs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4. Стороны пришли к соглашению, что на основании пункта 5 ст. 488 ГК РФ залога (ипотеки) Объектов недвижимости не возникает.</w:t>
      </w:r>
    </w:p>
    <w:p w14:paraId="617BBB89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5. ПРОДАВЕЦ гарантирует, что на момент подписания настоящего Договора вышеуказанные Объекты недвижимости никому не проданы, не подарены, в споре и под арестом или запрещением не состоят, рентой, наймом или какими-либо иными обязательствами не обременены, право собственности ПРОДАВЦА никем не оспаривается.</w:t>
      </w:r>
    </w:p>
    <w:p w14:paraId="62D660A4" w14:textId="77777777" w:rsidR="00DC7652" w:rsidRPr="00885A8F" w:rsidRDefault="00DC7652" w:rsidP="00E32CCC">
      <w:pPr>
        <w:pStyle w:val="af7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>6. Расходы, связанные с государственной регистрацией перехода права собственности на Недвижимое имущество, несет Покупатель в установленном законодательством Российской Федерации порядке. В соответствии со ст.556 ГК РФ ПРОДАВЕЦ передаст имущество, а ПОКУПАТЕЛЬ примет его по подписанному сторонами Договора передаточному акту, являющемуся неотъемлемой частью настоящего Договора.</w:t>
      </w:r>
    </w:p>
    <w:p w14:paraId="554666AB" w14:textId="77777777" w:rsidR="00DC7652" w:rsidRPr="00885A8F" w:rsidRDefault="00DC7652" w:rsidP="00E32CCC">
      <w:pPr>
        <w:pStyle w:val="af7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>Передача осуществляется после регистрации права собственности Покупателя на приобретаемое имущество и поступления ПРОДАВЦУ денежных средств в размере стоимости Объектов, предусмотренной п. 3.1 Договора, в порядке предусмотренном п. 3.1 Договора.</w:t>
      </w:r>
    </w:p>
    <w:p w14:paraId="08DD87F7" w14:textId="77777777" w:rsidR="00DC7652" w:rsidRPr="00885A8F" w:rsidRDefault="00DC7652" w:rsidP="00E32CCC">
      <w:pPr>
        <w:pStyle w:val="af7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>Стороны согласовали, что государственная регистрации прав собственности на Объекты осуществляется путем предоставления Сторонами необходимых документов в регистрирующий орган, в течени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885A8F">
        <w:rPr>
          <w:rFonts w:ascii="Times New Roman" w:hAnsi="Times New Roman" w:cs="Times New Roman"/>
          <w:sz w:val="23"/>
          <w:szCs w:val="23"/>
        </w:rPr>
        <w:t xml:space="preserve"> 10 (Десяти) рабочих дней с даты оплаты Покупателем стоимости Объектов. </w:t>
      </w:r>
    </w:p>
    <w:p w14:paraId="35B5BA0A" w14:textId="77777777" w:rsidR="00DC7652" w:rsidRPr="00885A8F" w:rsidRDefault="00DC7652" w:rsidP="00E32CCC">
      <w:pPr>
        <w:pStyle w:val="af7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lastRenderedPageBreak/>
        <w:t>7. Стороны заявляют, что они действуют добровольно, не вынужденно,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не страдают заболеваниями, лишающими их возможности понимать значение своих действий и руководить ими.</w:t>
      </w:r>
    </w:p>
    <w:p w14:paraId="17AEEB06" w14:textId="77777777" w:rsidR="00DC7652" w:rsidRPr="00885A8F" w:rsidRDefault="00DC7652" w:rsidP="00E32CCC">
      <w:pPr>
        <w:suppressAutoHyphens/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8. ПРОДАВЕЦ гарантирует ПОКУПАТЕЛЮ, что:</w:t>
      </w:r>
    </w:p>
    <w:p w14:paraId="2C7B1368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он является законным собственником отчуждаемых Объектов недвижимости;</w:t>
      </w:r>
    </w:p>
    <w:p w14:paraId="08A4488A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 xml:space="preserve">по Объектам недвижимости уплачены все эксплуатационные платежи; </w:t>
      </w:r>
    </w:p>
    <w:p w14:paraId="217F7BC0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 xml:space="preserve">все документы, представленные в связи с заключением Договора, являются подлинными, отражают достоверное правовое положение; </w:t>
      </w:r>
    </w:p>
    <w:p w14:paraId="32BB2F45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право собственности ПРОДАВЦА на отчуждаемые Объекты недвижимости никем не оспаривается; право распоряжения Объектами недвижимости не ограничено;</w:t>
      </w:r>
    </w:p>
    <w:p w14:paraId="52113E96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до подписания Договора отчуждаемые Объекты недвижимости никому другому не отчуждены, не обещаны в дарении, не заложены, не переданы в возмездное или безвозмездное пользование, в споре и под арестом (запрещением) не состоят, на них не обращено взыскание; </w:t>
      </w:r>
    </w:p>
    <w:p w14:paraId="7A9AD622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заключение Договора не нарушает никаких положений и норм действующего законодательства Российской Федерации, которые относятся к ним, их правам и обязательствам перед третьими лицами; </w:t>
      </w:r>
    </w:p>
    <w:p w14:paraId="2115C7CC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Договором не нарушаются интересы третьих лиц в связи с ранее заключенными договорами;</w:t>
      </w:r>
    </w:p>
    <w:p w14:paraId="5B9E90E2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Объекты недвижимости не входят в состав уставного капитала юридического лица, в отношении которого начата процедура банкротства, реорганизации или ликвидации;</w:t>
      </w:r>
    </w:p>
    <w:p w14:paraId="6D291BA5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proofErr w:type="spellStart"/>
      <w:r w:rsidRPr="00885A8F">
        <w:rPr>
          <w:sz w:val="23"/>
          <w:szCs w:val="23"/>
        </w:rPr>
        <w:t>правопритязания</w:t>
      </w:r>
      <w:proofErr w:type="spellEnd"/>
      <w:r w:rsidRPr="00885A8F">
        <w:rPr>
          <w:sz w:val="23"/>
          <w:szCs w:val="23"/>
        </w:rPr>
        <w:t xml:space="preserve"> на Объекты недвижимости, заявленные в судебном порядке, права требования на Объекты недвижимости отсутствуют; отметка о возражении в отношении зарегистрированного права на Объекты недвижимости отсутствует, основания для признания незаконной сделки, по которой он приобрел Объекты недвижимости, отсутствуют; </w:t>
      </w:r>
    </w:p>
    <w:p w14:paraId="5D167835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он не имеет долгов и/или любых иных обязательств, которые могут повлечь его банкротство как физического лица, в отношении него не начата процедура банкротства;</w:t>
      </w:r>
    </w:p>
    <w:p w14:paraId="420E7F6B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он не является ответчиком в суде как физическое лицо, в отношении него не ведется исполнительное производство, а равно уголовное преследование; </w:t>
      </w:r>
    </w:p>
    <w:p w14:paraId="413AF081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 xml:space="preserve">он не выдавал никому из физических и юридических лиц, каких-либо доверенностей, иных документальных полномочий на право распоряжения, обременения, отчуждения в пользу третьих лиц Объектов недвижимости. </w:t>
      </w:r>
    </w:p>
    <w:p w14:paraId="0D296D64" w14:textId="77777777" w:rsidR="00DC7652" w:rsidRPr="00885A8F" w:rsidRDefault="00DC7652" w:rsidP="00E32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3"/>
          <w:szCs w:val="23"/>
        </w:rPr>
      </w:pPr>
      <w:r w:rsidRPr="00885A8F">
        <w:rPr>
          <w:sz w:val="23"/>
          <w:szCs w:val="23"/>
        </w:rPr>
        <w:t xml:space="preserve">он не лишен и не ограничен в дееспособности по каким-либо основаниям (в том числе медицинским, либо на основании судебного решения). Продавец не проходил лечения и не состоял на учете в каком-либо психоневрологическом диспансере на территории РФ, либо ином аналогичном специализированном профилактическом/лечебном медицинском учреждении. </w:t>
      </w:r>
    </w:p>
    <w:p w14:paraId="095657B8" w14:textId="77777777" w:rsidR="00DC7652" w:rsidRPr="00885A8F" w:rsidRDefault="00DC7652" w:rsidP="00E32CCC">
      <w:pPr>
        <w:pStyle w:val="af7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>он не заключает настоящий Договор вследствие стечения тяжелых обстоятельств, на крайне невыгодных для себя условиях и настоящий Договор не является для него кабальной сделкой.</w:t>
      </w:r>
    </w:p>
    <w:p w14:paraId="506FDEC5" w14:textId="77777777" w:rsidR="00DC7652" w:rsidRPr="00885A8F" w:rsidRDefault="00DC7652" w:rsidP="00E32CCC">
      <w:pPr>
        <w:pStyle w:val="af9"/>
        <w:widowControl w:val="0"/>
        <w:ind w:left="0" w:firstLine="770"/>
        <w:jc w:val="both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 xml:space="preserve">Обстоятельства, указанные в настоящем пункте Договора, изложенные Сторонами Договора, имеют силу юридически значимых обстоятельств/заявлений, в соответствии с положениями ст. 165.1 Гражданского кодекса РФ «Юридически значимые сообщения». </w:t>
      </w:r>
    </w:p>
    <w:p w14:paraId="6EC21CDB" w14:textId="77777777" w:rsidR="00DC7652" w:rsidRPr="00885A8F" w:rsidRDefault="00DC7652" w:rsidP="00E32CC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 xml:space="preserve">9. Ответственность и права сторон, не предусмотренные в настоящем Договоре, определяется в соответствии с действующим законодательством Российской Федерации, и иными правовыми актами. </w:t>
      </w:r>
    </w:p>
    <w:p w14:paraId="27D9EFFA" w14:textId="77777777" w:rsidR="00DC7652" w:rsidRPr="00885A8F" w:rsidRDefault="00DC7652" w:rsidP="00E32CCC">
      <w:pPr>
        <w:ind w:firstLine="720"/>
        <w:jc w:val="both"/>
        <w:rPr>
          <w:sz w:val="23"/>
          <w:szCs w:val="23"/>
        </w:rPr>
      </w:pPr>
      <w:r w:rsidRPr="00885A8F">
        <w:rPr>
          <w:sz w:val="23"/>
          <w:szCs w:val="23"/>
        </w:rPr>
        <w:t xml:space="preserve">10. Содержание сделки, ее последствия, ответственность, права и обязанности, содержание статей Гражданского Кодекса РФ: 160 «Письменная форма сделки», 161 «Сделки, совершаемые в простой письменной форме», 164 «Государственная регистрация сделок»,  209 «Содержание права собственности», 223 «Момент возникновения права собственности у приобретателя по договору», 260 «Общие положения о праве собственности на землю», 450 «Основания изменения и расторжения договора», 456 «Обязанность продавца по передаче товара», 460 «Обязанность продавца передать товар свободным от прав третьих лиц», 461 «Ответственность продавца в случае изъятия товара у покупателя», 549 «Договор продажи недвижимости», 551 «Государственная регистрация перехода права собственности на недвижимость», 556 «Передача недвижимости», 557 «Последствия передачи недвижимости ненадлежащего качества», Сторонам известны. </w:t>
      </w:r>
    </w:p>
    <w:p w14:paraId="6ED80B61" w14:textId="77777777" w:rsidR="00DC7652" w:rsidRPr="00885A8F" w:rsidRDefault="00DC7652" w:rsidP="00E32CCC">
      <w:pPr>
        <w:pStyle w:val="af7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lastRenderedPageBreak/>
        <w:t>11. Расходы по заключению и регистрации перехода права собственности оплачиваются ПОКУПАТЕЛЕМ.</w:t>
      </w:r>
    </w:p>
    <w:p w14:paraId="59F508F8" w14:textId="77777777" w:rsidR="00F80FED" w:rsidRDefault="00F80FED" w:rsidP="00E32CCC">
      <w:pPr>
        <w:jc w:val="center"/>
        <w:rPr>
          <w:b/>
          <w:bCs/>
          <w:sz w:val="23"/>
          <w:szCs w:val="23"/>
        </w:rPr>
      </w:pPr>
    </w:p>
    <w:p w14:paraId="713985F7" w14:textId="3F5FD181" w:rsidR="00DC7652" w:rsidRPr="00885A8F" w:rsidRDefault="00DC7652" w:rsidP="00E32CCC">
      <w:pPr>
        <w:jc w:val="center"/>
        <w:rPr>
          <w:sz w:val="23"/>
          <w:szCs w:val="23"/>
        </w:rPr>
      </w:pPr>
      <w:r w:rsidRPr="00885A8F">
        <w:rPr>
          <w:b/>
          <w:bCs/>
          <w:sz w:val="23"/>
          <w:szCs w:val="23"/>
        </w:rPr>
        <w:t>12. Подписи Сторон</w:t>
      </w:r>
    </w:p>
    <w:p w14:paraId="46D54D24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 xml:space="preserve">Продавец: </w:t>
      </w:r>
    </w:p>
    <w:p w14:paraId="7FFD3404" w14:textId="77777777" w:rsidR="00DC7652" w:rsidRPr="00885A8F" w:rsidRDefault="00DC7652" w:rsidP="00E32CCC">
      <w:pPr>
        <w:pStyle w:val="afa"/>
        <w:jc w:val="left"/>
        <w:rPr>
          <w:rFonts w:cs="Times New Roman"/>
          <w:b w:val="0"/>
          <w:bCs w:val="0"/>
          <w:sz w:val="23"/>
          <w:szCs w:val="23"/>
        </w:rPr>
      </w:pPr>
      <w:r w:rsidRPr="00885A8F">
        <w:rPr>
          <w:rFonts w:cs="Times New Roman"/>
          <w:b w:val="0"/>
          <w:bCs w:val="0"/>
          <w:sz w:val="23"/>
          <w:szCs w:val="23"/>
        </w:rPr>
        <w:t>________________________________________________________/____________________________</w:t>
      </w:r>
    </w:p>
    <w:p w14:paraId="2FC18AC5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</w:p>
    <w:p w14:paraId="2EF57139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Покупатель:</w:t>
      </w:r>
    </w:p>
    <w:p w14:paraId="19056064" w14:textId="77777777" w:rsidR="00DC7652" w:rsidRPr="00885A8F" w:rsidRDefault="00DC7652" w:rsidP="00E32CCC">
      <w:pPr>
        <w:pStyle w:val="afa"/>
        <w:jc w:val="left"/>
        <w:rPr>
          <w:rFonts w:cs="Times New Roman"/>
          <w:b w:val="0"/>
          <w:bCs w:val="0"/>
          <w:sz w:val="23"/>
          <w:szCs w:val="23"/>
        </w:rPr>
      </w:pPr>
      <w:r w:rsidRPr="00885A8F">
        <w:rPr>
          <w:rFonts w:cs="Times New Roman"/>
          <w:b w:val="0"/>
          <w:bCs w:val="0"/>
          <w:sz w:val="23"/>
          <w:szCs w:val="23"/>
        </w:rPr>
        <w:t>________________________________________________________/____________________________</w:t>
      </w:r>
    </w:p>
    <w:p w14:paraId="7E4F9725" w14:textId="77777777" w:rsidR="00DC7652" w:rsidRPr="00885A8F" w:rsidRDefault="00DC7652" w:rsidP="00E32CCC">
      <w:pPr>
        <w:pStyle w:val="afa"/>
        <w:rPr>
          <w:rFonts w:cs="Times New Roman"/>
          <w:b w:val="0"/>
          <w:bCs w:val="0"/>
          <w:sz w:val="23"/>
          <w:szCs w:val="23"/>
        </w:rPr>
      </w:pPr>
    </w:p>
    <w:p w14:paraId="4E6656D5" w14:textId="77777777" w:rsidR="00DC7652" w:rsidRPr="00885A8F" w:rsidRDefault="00DC7652" w:rsidP="00E32CCC">
      <w:pPr>
        <w:rPr>
          <w:sz w:val="23"/>
          <w:szCs w:val="23"/>
        </w:rPr>
      </w:pPr>
    </w:p>
    <w:p w14:paraId="0461632B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7DB18A00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12B3BDA4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68BD0D5D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715ED30B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0AE43648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40791C58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3F5DC4FD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3D9FC9B6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3E583B41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6775CE9D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47CEF7CB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5B593EA8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7CBCA188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3B404840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7AC8CB93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435FC636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646A2B75" w14:textId="77777777" w:rsidR="00DC7652" w:rsidRDefault="00DC7652" w:rsidP="00E32CCC">
      <w:pPr>
        <w:pStyle w:val="afa"/>
        <w:rPr>
          <w:rFonts w:cs="Times New Roman"/>
          <w:sz w:val="23"/>
          <w:szCs w:val="23"/>
        </w:rPr>
      </w:pPr>
    </w:p>
    <w:p w14:paraId="79FE6CC0" w14:textId="77777777" w:rsidR="00E32CCC" w:rsidRDefault="00E32CCC" w:rsidP="00E32CCC">
      <w:pPr>
        <w:pStyle w:val="afb"/>
        <w:rPr>
          <w:lang w:eastAsia="en-US"/>
        </w:rPr>
      </w:pPr>
    </w:p>
    <w:p w14:paraId="6C56FCA4" w14:textId="77777777" w:rsidR="00E32CCC" w:rsidRDefault="00E32CCC" w:rsidP="00E32CCC">
      <w:pPr>
        <w:rPr>
          <w:lang w:eastAsia="en-US"/>
        </w:rPr>
      </w:pPr>
    </w:p>
    <w:p w14:paraId="53DEFCBC" w14:textId="77777777" w:rsidR="00E32CCC" w:rsidRDefault="00E32CCC" w:rsidP="00E32CCC">
      <w:pPr>
        <w:rPr>
          <w:lang w:eastAsia="en-US"/>
        </w:rPr>
      </w:pPr>
    </w:p>
    <w:p w14:paraId="10C8DA30" w14:textId="77777777" w:rsidR="00E32CCC" w:rsidRDefault="00E32CCC" w:rsidP="00E32CCC">
      <w:pPr>
        <w:rPr>
          <w:lang w:eastAsia="en-US"/>
        </w:rPr>
      </w:pPr>
    </w:p>
    <w:p w14:paraId="034870C7" w14:textId="77777777" w:rsidR="00E32CCC" w:rsidRDefault="00E32CCC" w:rsidP="00E32CCC">
      <w:pPr>
        <w:rPr>
          <w:lang w:eastAsia="en-US"/>
        </w:rPr>
      </w:pPr>
    </w:p>
    <w:p w14:paraId="66A0071C" w14:textId="77777777" w:rsidR="00E32CCC" w:rsidRDefault="00E32CCC" w:rsidP="00E32CCC">
      <w:pPr>
        <w:rPr>
          <w:lang w:eastAsia="en-US"/>
        </w:rPr>
      </w:pPr>
    </w:p>
    <w:p w14:paraId="6F40456A" w14:textId="77777777" w:rsidR="00E32CCC" w:rsidRDefault="00E32CCC" w:rsidP="00E32CCC">
      <w:pPr>
        <w:rPr>
          <w:lang w:eastAsia="en-US"/>
        </w:rPr>
      </w:pPr>
    </w:p>
    <w:p w14:paraId="00BF96BD" w14:textId="77777777" w:rsidR="00E32CCC" w:rsidRDefault="00E32CCC" w:rsidP="00E32CCC">
      <w:pPr>
        <w:rPr>
          <w:lang w:eastAsia="en-US"/>
        </w:rPr>
      </w:pPr>
    </w:p>
    <w:p w14:paraId="1BCFE919" w14:textId="77777777" w:rsidR="00E32CCC" w:rsidRDefault="00E32CCC" w:rsidP="00E32CCC">
      <w:pPr>
        <w:rPr>
          <w:lang w:eastAsia="en-US"/>
        </w:rPr>
      </w:pPr>
    </w:p>
    <w:p w14:paraId="0D281C2D" w14:textId="77777777" w:rsidR="00E32CCC" w:rsidRDefault="00E32CCC" w:rsidP="00E32CCC">
      <w:pPr>
        <w:rPr>
          <w:lang w:eastAsia="en-US"/>
        </w:rPr>
      </w:pPr>
    </w:p>
    <w:p w14:paraId="2AC4A6F6" w14:textId="77777777" w:rsidR="00E32CCC" w:rsidRDefault="00E32CCC" w:rsidP="00E32CCC">
      <w:pPr>
        <w:rPr>
          <w:lang w:eastAsia="en-US"/>
        </w:rPr>
      </w:pPr>
    </w:p>
    <w:p w14:paraId="78BBA583" w14:textId="77777777" w:rsidR="00E32CCC" w:rsidRDefault="00E32CCC" w:rsidP="00E32CCC">
      <w:pPr>
        <w:rPr>
          <w:lang w:eastAsia="en-US"/>
        </w:rPr>
      </w:pPr>
    </w:p>
    <w:p w14:paraId="3AC12222" w14:textId="77777777" w:rsidR="00E32CCC" w:rsidRDefault="00E32CCC" w:rsidP="00E32CCC">
      <w:pPr>
        <w:rPr>
          <w:lang w:eastAsia="en-US"/>
        </w:rPr>
      </w:pPr>
    </w:p>
    <w:p w14:paraId="31FA91B0" w14:textId="77777777" w:rsidR="00E32CCC" w:rsidRDefault="00E32CCC" w:rsidP="00E32CCC">
      <w:pPr>
        <w:rPr>
          <w:lang w:eastAsia="en-US"/>
        </w:rPr>
      </w:pPr>
    </w:p>
    <w:p w14:paraId="3216EF95" w14:textId="77777777" w:rsidR="00E32CCC" w:rsidRDefault="00E32CCC" w:rsidP="00E32CCC">
      <w:pPr>
        <w:rPr>
          <w:lang w:eastAsia="en-US"/>
        </w:rPr>
      </w:pPr>
    </w:p>
    <w:p w14:paraId="40C056ED" w14:textId="77777777" w:rsidR="00E32CCC" w:rsidRDefault="00E32CCC" w:rsidP="00E32CCC">
      <w:pPr>
        <w:rPr>
          <w:lang w:eastAsia="en-US"/>
        </w:rPr>
      </w:pPr>
    </w:p>
    <w:p w14:paraId="277735DD" w14:textId="77777777" w:rsidR="00E32CCC" w:rsidRDefault="00E32CCC" w:rsidP="00E32CCC">
      <w:pPr>
        <w:rPr>
          <w:lang w:eastAsia="en-US"/>
        </w:rPr>
      </w:pPr>
    </w:p>
    <w:p w14:paraId="56CA183F" w14:textId="77777777" w:rsidR="00E32CCC" w:rsidRDefault="00E32CCC" w:rsidP="00E32CCC">
      <w:pPr>
        <w:rPr>
          <w:lang w:eastAsia="en-US"/>
        </w:rPr>
      </w:pPr>
    </w:p>
    <w:p w14:paraId="013AEFE7" w14:textId="77777777" w:rsidR="00E32CCC" w:rsidRDefault="00E32CCC" w:rsidP="00E32CCC">
      <w:pPr>
        <w:rPr>
          <w:lang w:eastAsia="en-US"/>
        </w:rPr>
      </w:pPr>
    </w:p>
    <w:p w14:paraId="4B3651EF" w14:textId="77777777" w:rsidR="00E32CCC" w:rsidRDefault="00E32CCC" w:rsidP="00E32CCC">
      <w:pPr>
        <w:rPr>
          <w:lang w:eastAsia="en-US"/>
        </w:rPr>
      </w:pPr>
    </w:p>
    <w:p w14:paraId="4CDE76C8" w14:textId="77777777" w:rsidR="00E32CCC" w:rsidRDefault="00E32CCC" w:rsidP="00E32CCC">
      <w:pPr>
        <w:rPr>
          <w:lang w:eastAsia="en-US"/>
        </w:rPr>
      </w:pPr>
    </w:p>
    <w:p w14:paraId="76974A53" w14:textId="77777777" w:rsidR="00E32CCC" w:rsidRDefault="00E32CCC" w:rsidP="00E32CCC">
      <w:pPr>
        <w:rPr>
          <w:lang w:eastAsia="en-US"/>
        </w:rPr>
      </w:pPr>
    </w:p>
    <w:p w14:paraId="3B0AA558" w14:textId="77777777" w:rsidR="00E32CCC" w:rsidRDefault="00E32CCC" w:rsidP="00E32CCC">
      <w:pPr>
        <w:rPr>
          <w:lang w:eastAsia="en-US"/>
        </w:rPr>
      </w:pPr>
    </w:p>
    <w:p w14:paraId="242EFCD9" w14:textId="77777777" w:rsidR="00E32CCC" w:rsidRPr="00E32CCC" w:rsidRDefault="00E32CCC" w:rsidP="00E32CCC">
      <w:pPr>
        <w:rPr>
          <w:lang w:eastAsia="en-US"/>
        </w:rPr>
      </w:pPr>
    </w:p>
    <w:p w14:paraId="5DD02E2F" w14:textId="77777777" w:rsidR="00E32CCC" w:rsidRDefault="00E32CCC" w:rsidP="00E32CCC">
      <w:pPr>
        <w:rPr>
          <w:lang w:eastAsia="en-US"/>
        </w:rPr>
      </w:pPr>
    </w:p>
    <w:p w14:paraId="6B43C889" w14:textId="77777777" w:rsidR="00F80FED" w:rsidRDefault="00F80FED" w:rsidP="00E32CCC">
      <w:pPr>
        <w:pStyle w:val="afa"/>
        <w:rPr>
          <w:rFonts w:cs="Times New Roman"/>
          <w:sz w:val="23"/>
          <w:szCs w:val="23"/>
        </w:rPr>
      </w:pPr>
    </w:p>
    <w:p w14:paraId="471E14E7" w14:textId="2865FA65" w:rsidR="00DC7652" w:rsidRPr="00885A8F" w:rsidRDefault="00DC7652" w:rsidP="00E32CCC">
      <w:pPr>
        <w:pStyle w:val="afa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ПЕРЕДАТОЧНЫЙ АКТ</w:t>
      </w:r>
    </w:p>
    <w:p w14:paraId="6814AE7E" w14:textId="77777777" w:rsidR="00DC7652" w:rsidRPr="00885A8F" w:rsidRDefault="00DC7652" w:rsidP="00E32CCC">
      <w:pPr>
        <w:pStyle w:val="af7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C770A09" w14:textId="7DD51EC8" w:rsidR="00DC7652" w:rsidRPr="00885A8F" w:rsidRDefault="00DC7652" w:rsidP="00E32CCC">
      <w:pPr>
        <w:pStyle w:val="a3"/>
        <w:ind w:firstLine="0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г. Москва</w:t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Pr="00885A8F">
        <w:rPr>
          <w:rFonts w:ascii="Times New Roman" w:hAnsi="Times New Roman"/>
          <w:sz w:val="23"/>
          <w:szCs w:val="23"/>
        </w:rPr>
        <w:tab/>
      </w:r>
      <w:r w:rsidR="00E32CCC">
        <w:rPr>
          <w:rFonts w:ascii="Times New Roman" w:hAnsi="Times New Roman"/>
          <w:sz w:val="23"/>
          <w:szCs w:val="23"/>
          <w:lang w:val="ru-RU"/>
        </w:rPr>
        <w:t xml:space="preserve">                        </w:t>
      </w:r>
      <w:r w:rsidRPr="00885A8F">
        <w:rPr>
          <w:rFonts w:ascii="Times New Roman" w:hAnsi="Times New Roman"/>
          <w:sz w:val="23"/>
          <w:szCs w:val="23"/>
        </w:rPr>
        <w:tab/>
        <w:t>«__» ____________ 2023г.</w:t>
      </w:r>
    </w:p>
    <w:p w14:paraId="7DC8FB8B" w14:textId="77777777" w:rsidR="00DC7652" w:rsidRPr="00885A8F" w:rsidRDefault="00DC7652" w:rsidP="00E32CCC">
      <w:pPr>
        <w:ind w:firstLine="709"/>
        <w:jc w:val="both"/>
        <w:rPr>
          <w:b/>
          <w:bCs/>
          <w:sz w:val="23"/>
          <w:szCs w:val="23"/>
        </w:rPr>
      </w:pPr>
    </w:p>
    <w:p w14:paraId="22670280" w14:textId="77777777" w:rsidR="00DC7652" w:rsidRPr="00885A8F" w:rsidRDefault="00DC7652" w:rsidP="00E32CCC">
      <w:pPr>
        <w:widowControl w:val="0"/>
        <w:ind w:firstLine="567"/>
        <w:jc w:val="both"/>
        <w:rPr>
          <w:b/>
          <w:bCs/>
          <w:sz w:val="23"/>
          <w:szCs w:val="23"/>
        </w:rPr>
      </w:pPr>
      <w:r w:rsidRPr="00885A8F">
        <w:rPr>
          <w:sz w:val="23"/>
          <w:szCs w:val="23"/>
        </w:rPr>
        <w:t>Мы,</w:t>
      </w:r>
      <w:r w:rsidRPr="00885A8F">
        <w:rPr>
          <w:b/>
          <w:bCs/>
          <w:sz w:val="23"/>
          <w:szCs w:val="23"/>
        </w:rPr>
        <w:t xml:space="preserve"> </w:t>
      </w:r>
      <w:r w:rsidRPr="00885A8F">
        <w:rPr>
          <w:sz w:val="23"/>
          <w:szCs w:val="23"/>
        </w:rPr>
        <w:t>__________________________________________, именуемый в дальнейшем «ПРОДАВЕЦ»,</w:t>
      </w:r>
    </w:p>
    <w:p w14:paraId="64D7BDD7" w14:textId="77777777" w:rsidR="00DC7652" w:rsidRPr="00885A8F" w:rsidRDefault="00DC7652" w:rsidP="00E32CCC">
      <w:pPr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и _________________________________________, именуемое в дальнейшем «ПОКУПАТЕЛЬ», с другой стороны, а вместе именуемые «Стороны», составили и подписали настоящий Акт о нижеследующем:</w:t>
      </w:r>
    </w:p>
    <w:p w14:paraId="439ADD09" w14:textId="77777777" w:rsidR="00DC7652" w:rsidRPr="00885A8F" w:rsidRDefault="00DC7652" w:rsidP="00E32CCC">
      <w:pPr>
        <w:pStyle w:val="a3"/>
        <w:rPr>
          <w:rFonts w:ascii="Times New Roman" w:hAnsi="Times New Roman"/>
          <w:sz w:val="23"/>
          <w:szCs w:val="23"/>
        </w:rPr>
      </w:pPr>
    </w:p>
    <w:p w14:paraId="271E8CBF" w14:textId="77777777" w:rsidR="00DC7652" w:rsidRPr="00885A8F" w:rsidRDefault="00DC7652" w:rsidP="00E32CC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3"/>
          <w:szCs w:val="23"/>
        </w:rPr>
      </w:pPr>
      <w:r w:rsidRPr="00885A8F">
        <w:rPr>
          <w:sz w:val="23"/>
          <w:szCs w:val="23"/>
        </w:rPr>
        <w:t>В соответствии с Договором купли-продажи от __.__.23. ПРОДАВЕЦ передал, а ПОКУПАТЕЛЬ принял:</w:t>
      </w:r>
    </w:p>
    <w:p w14:paraId="5A0A332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1.1. земельный участок с кадастровым номером: 21:03:010244:2, общей площадью 52403 кв.м., категория земель: земли населенных пунктов, виды разрешенного использования: для производственных нужд; расположенный по адресу: Чувашская Республика - Чувашия, г. Алатырь, ул. Пирогова, дом 2В.</w:t>
      </w:r>
    </w:p>
    <w:p w14:paraId="07E8617D" w14:textId="77777777" w:rsidR="001D6D6D" w:rsidRDefault="00DC7652" w:rsidP="00E32CCC">
      <w:pPr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На земельном участке расположены здания, указанные в п. 1.2. – 1.8. настоящего акта</w:t>
      </w:r>
      <w:r w:rsidR="00AB6072" w:rsidRPr="00AB6072">
        <w:rPr>
          <w:sz w:val="23"/>
          <w:szCs w:val="23"/>
        </w:rPr>
        <w:t>, а также объекты недвижимости (газопроводы), не принадлежащие ПРОДАВЦУ: 21:03:010232:192, 21:03:000000:441, 21:03:000000:1916, 21:03:000000:1942.</w:t>
      </w:r>
    </w:p>
    <w:p w14:paraId="4521A979" w14:textId="1213426F" w:rsidR="00DC7652" w:rsidRPr="00885A8F" w:rsidRDefault="00DC7652" w:rsidP="00E32CCC">
      <w:pPr>
        <w:ind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1.2. здание с кадастровым номером: 21:03:010232:174, общей площадью 15,5 кв.м., назначение: нежилое, наименование: проходная, этажей: 1; расположен по адресу: Чувашская Республика, г. Алатырь, ул. Пирогова, д. 2а.</w:t>
      </w:r>
    </w:p>
    <w:p w14:paraId="376F7028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492E8945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1.3. здание с кадастровым номером: 21:03:010232:179, общей площадью 9834 кв.м., назначение: нежилое, наименование: здание, этажей: 2; расположен по адресу: Чувашская Республика, г. Алатырь, ул. Пирогова, д. 2а.</w:t>
      </w:r>
    </w:p>
    <w:p w14:paraId="1954F4A2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6B39B926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1.4. здание с кадастровым номером: 21:03:010232:185, общей площадью 405,4 кв.м., назначение: нежилое, наименование: бытовой корпус, этажей: 1; расположен по адресу: Чувашская Республика, г. Алатырь, ул. Пирогова, д. 2а.</w:t>
      </w:r>
    </w:p>
    <w:p w14:paraId="2080DFE4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0B19F5B0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1.5. здание с кадастровым номером: 21:03:010232:196, общей площадью 1804,7 кв.м., назначение: нежилое, наименование: вспомогательный корпус, котельная, компрессорный цех, этажей: 2; расположен по адресу: Чувашская Республика, г. Алатырь, ул. Пирогова, д. 2а.</w:t>
      </w:r>
    </w:p>
    <w:p w14:paraId="7DF31BD4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727F8B60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1.6. здание с кадастровым номером: 21:03:010232:197, общей площадью 188,6 кв.м., назначение: нежилое, наименование: склад, этажей: 1; расположен по адресу: Чувашская Республика, г. Алатырь, ул. Пирогова, д. 2а.</w:t>
      </w:r>
    </w:p>
    <w:p w14:paraId="2212C95A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45C355B1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1.7. здание с кадастровым номером: 21:03:010232:204, общей площадью 1361,7 кв.м., назначение: нежилое, наименование: административный корпус, этажей: 3; расположен по адресу: Чувашская Республика, г. Алатырь, ул. Пирогова, д. 2а.</w:t>
      </w:r>
    </w:p>
    <w:p w14:paraId="71BB3287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358E4CF8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1.8. здание с кадастровым номером: 21:03:010232:211, общей площадью 25,3 кв.м., назначение: нежилое, наименование: тепловая подстанция, этажей: 1; расположен по адресу: Чувашская Республика, г. Алатырь, ул. Пирогова, д. 2а.</w:t>
      </w:r>
    </w:p>
    <w:p w14:paraId="2F2B9D89" w14:textId="77777777" w:rsidR="00DC7652" w:rsidRPr="00885A8F" w:rsidRDefault="00DC7652" w:rsidP="00E32CCC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85A8F">
        <w:rPr>
          <w:rFonts w:ascii="Times New Roman" w:hAnsi="Times New Roman"/>
          <w:sz w:val="23"/>
          <w:szCs w:val="23"/>
        </w:rPr>
        <w:t>Здание расположено на земельном участке, указанном в п. 1.1. настоящего акта.</w:t>
      </w:r>
    </w:p>
    <w:p w14:paraId="374769A3" w14:textId="77777777" w:rsidR="00DC7652" w:rsidRPr="00885A8F" w:rsidRDefault="00DC7652" w:rsidP="00E32CCC">
      <w:pPr>
        <w:ind w:right="42" w:firstLine="709"/>
        <w:jc w:val="both"/>
        <w:rPr>
          <w:sz w:val="23"/>
          <w:szCs w:val="23"/>
        </w:rPr>
      </w:pPr>
      <w:r w:rsidRPr="00885A8F">
        <w:rPr>
          <w:sz w:val="23"/>
          <w:szCs w:val="23"/>
        </w:rPr>
        <w:t>2. Настоящий Акт приема-передачи (передаточный акт) является неотъемлемой частью Договора от _</w:t>
      </w:r>
      <w:proofErr w:type="gramStart"/>
      <w:r w:rsidRPr="00885A8F">
        <w:rPr>
          <w:sz w:val="23"/>
          <w:szCs w:val="23"/>
        </w:rPr>
        <w:t>_._</w:t>
      </w:r>
      <w:proofErr w:type="gramEnd"/>
      <w:r w:rsidRPr="00885A8F">
        <w:rPr>
          <w:sz w:val="23"/>
          <w:szCs w:val="23"/>
        </w:rPr>
        <w:t>_.23.</w:t>
      </w:r>
    </w:p>
    <w:p w14:paraId="49AC5606" w14:textId="77777777" w:rsidR="00DC7652" w:rsidRPr="00885A8F" w:rsidRDefault="00DC7652" w:rsidP="00E32CC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>3. Настоящий Акт составлен и подписан в двух экземплярах, по одному экземпляру для каждой из Сторон.</w:t>
      </w:r>
    </w:p>
    <w:p w14:paraId="736D0CC7" w14:textId="77777777" w:rsidR="00DC7652" w:rsidRPr="00885A8F" w:rsidRDefault="00DC7652" w:rsidP="00E32CC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A8F">
        <w:rPr>
          <w:rFonts w:ascii="Times New Roman" w:hAnsi="Times New Roman" w:cs="Times New Roman"/>
          <w:sz w:val="23"/>
          <w:szCs w:val="23"/>
        </w:rPr>
        <w:t xml:space="preserve">4. Подписывая настоящий Акт, ПОКУПАТЕЛЬ подтверждает факт осмотра передаваемых объектов, а также факт их принятия от ПРОДАВЦА без претензий об их состоянии и иных недостатках. </w:t>
      </w:r>
    </w:p>
    <w:p w14:paraId="39901E03" w14:textId="77777777" w:rsidR="00DC7652" w:rsidRDefault="00DC7652" w:rsidP="00E32CCC">
      <w:pPr>
        <w:jc w:val="center"/>
        <w:rPr>
          <w:b/>
          <w:bCs/>
          <w:sz w:val="23"/>
          <w:szCs w:val="23"/>
        </w:rPr>
      </w:pPr>
    </w:p>
    <w:p w14:paraId="7F984073" w14:textId="79CFAF66" w:rsidR="00E32CCC" w:rsidRPr="00885A8F" w:rsidRDefault="00F80FED" w:rsidP="00F80FED">
      <w:pPr>
        <w:tabs>
          <w:tab w:val="left" w:pos="3215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14:paraId="68DC2C55" w14:textId="77777777" w:rsidR="00DC7652" w:rsidRPr="00885A8F" w:rsidRDefault="00DC7652" w:rsidP="00E32CCC">
      <w:pPr>
        <w:jc w:val="center"/>
        <w:rPr>
          <w:b/>
          <w:bCs/>
          <w:sz w:val="23"/>
          <w:szCs w:val="23"/>
        </w:rPr>
      </w:pPr>
      <w:r w:rsidRPr="00885A8F">
        <w:rPr>
          <w:b/>
          <w:bCs/>
          <w:sz w:val="23"/>
          <w:szCs w:val="23"/>
        </w:rPr>
        <w:lastRenderedPageBreak/>
        <w:t>4. Подписи и реквизиты Сторон</w:t>
      </w:r>
    </w:p>
    <w:p w14:paraId="619DB183" w14:textId="77777777" w:rsidR="00DC7652" w:rsidRPr="00885A8F" w:rsidRDefault="00DC7652" w:rsidP="00E32CCC">
      <w:pPr>
        <w:rPr>
          <w:sz w:val="23"/>
          <w:szCs w:val="23"/>
        </w:rPr>
      </w:pPr>
    </w:p>
    <w:p w14:paraId="79AFD95C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 xml:space="preserve">Продавец: </w:t>
      </w:r>
    </w:p>
    <w:p w14:paraId="6A329867" w14:textId="77777777" w:rsidR="00DC7652" w:rsidRPr="00885A8F" w:rsidRDefault="00DC7652" w:rsidP="00E32CCC">
      <w:pPr>
        <w:pStyle w:val="afa"/>
        <w:jc w:val="left"/>
        <w:rPr>
          <w:rFonts w:cs="Times New Roman"/>
          <w:b w:val="0"/>
          <w:bCs w:val="0"/>
          <w:sz w:val="23"/>
          <w:szCs w:val="23"/>
        </w:rPr>
      </w:pPr>
      <w:r w:rsidRPr="00885A8F">
        <w:rPr>
          <w:rFonts w:cs="Times New Roman"/>
          <w:b w:val="0"/>
          <w:bCs w:val="0"/>
          <w:sz w:val="23"/>
          <w:szCs w:val="23"/>
        </w:rPr>
        <w:t>________________________________________________________/ ___________________________</w:t>
      </w:r>
    </w:p>
    <w:p w14:paraId="320D9C88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</w:p>
    <w:p w14:paraId="4F3AE393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  <w:r w:rsidRPr="00885A8F">
        <w:rPr>
          <w:rFonts w:cs="Times New Roman"/>
          <w:sz w:val="23"/>
          <w:szCs w:val="23"/>
        </w:rPr>
        <w:t>Покупатель:</w:t>
      </w:r>
    </w:p>
    <w:p w14:paraId="213953E6" w14:textId="77777777" w:rsidR="00DC7652" w:rsidRPr="00885A8F" w:rsidRDefault="00DC7652" w:rsidP="00E32CCC">
      <w:pPr>
        <w:pStyle w:val="afa"/>
        <w:jc w:val="left"/>
        <w:rPr>
          <w:rFonts w:cs="Times New Roman"/>
          <w:sz w:val="23"/>
          <w:szCs w:val="23"/>
        </w:rPr>
      </w:pPr>
      <w:r w:rsidRPr="00885A8F">
        <w:rPr>
          <w:rFonts w:cs="Times New Roman"/>
          <w:b w:val="0"/>
          <w:bCs w:val="0"/>
          <w:sz w:val="23"/>
          <w:szCs w:val="23"/>
        </w:rPr>
        <w:t>________________________________________________________/___________________________</w:t>
      </w:r>
    </w:p>
    <w:p w14:paraId="2F545BB3" w14:textId="77777777" w:rsidR="00DC7652" w:rsidRPr="00885A8F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sz w:val="23"/>
          <w:szCs w:val="23"/>
          <w:u w:color="000000"/>
          <w:bdr w:val="nil"/>
        </w:rPr>
      </w:pPr>
    </w:p>
    <w:p w14:paraId="524E9DE5" w14:textId="77777777" w:rsidR="00DC7652" w:rsidRPr="00885A8F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 w:val="23"/>
          <w:szCs w:val="23"/>
          <w:u w:color="000000"/>
          <w:bdr w:val="nil"/>
        </w:rPr>
      </w:pPr>
    </w:p>
    <w:p w14:paraId="2D0C390D" w14:textId="77777777" w:rsidR="00DC7652" w:rsidRPr="00885A8F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 w:val="23"/>
          <w:szCs w:val="23"/>
          <w:u w:color="000000"/>
          <w:bdr w:val="nil"/>
        </w:rPr>
      </w:pPr>
    </w:p>
    <w:p w14:paraId="48F57FEA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0D3905D5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FA17D57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1525EF3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60118324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1AE0E761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41192BE9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7DB661E8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8D7006F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4B38859B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26A58A2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4D72A13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D75F1F8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10D0937C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2CB6AE1A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7741DBCE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349A6F2A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23A76584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67EE48D3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3B6CB89E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4F369CD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192EC69A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3285AF5A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4DA4EC62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4B0D3987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5564C649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1617BAFC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276D0E92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1DD4B349" w14:textId="77777777" w:rsidR="00DC7652" w:rsidRDefault="00DC7652" w:rsidP="00E32CC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 w:val="22"/>
          <w:szCs w:val="22"/>
          <w:u w:color="000000"/>
          <w:bdr w:val="nil"/>
        </w:rPr>
      </w:pPr>
    </w:p>
    <w:p w14:paraId="03EEAC7F" w14:textId="77777777" w:rsidR="00DC7652" w:rsidRPr="006958B5" w:rsidRDefault="00DC7652" w:rsidP="00E32CCC">
      <w:pPr>
        <w:ind w:right="-1"/>
        <w:rPr>
          <w:sz w:val="23"/>
          <w:szCs w:val="23"/>
        </w:rPr>
      </w:pPr>
    </w:p>
    <w:p w14:paraId="765C47B8" w14:textId="77777777" w:rsidR="003B55B3" w:rsidRDefault="003B55B3" w:rsidP="00E32CCC"/>
    <w:sectPr w:rsidR="003B55B3" w:rsidSect="00F80FED">
      <w:pgSz w:w="11906" w:h="16838"/>
      <w:pgMar w:top="633" w:right="707" w:bottom="1135" w:left="1134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4664" w14:textId="77777777" w:rsidR="00B02B1B" w:rsidRDefault="00B02B1B">
      <w:r>
        <w:separator/>
      </w:r>
    </w:p>
  </w:endnote>
  <w:endnote w:type="continuationSeparator" w:id="0">
    <w:p w14:paraId="54BDB0B6" w14:textId="77777777" w:rsidR="00B02B1B" w:rsidRDefault="00B0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3C4E" w14:textId="77777777" w:rsidR="00B02B1B" w:rsidRDefault="00B02B1B">
      <w:r>
        <w:separator/>
      </w:r>
    </w:p>
  </w:footnote>
  <w:footnote w:type="continuationSeparator" w:id="0">
    <w:p w14:paraId="49C6ACE9" w14:textId="77777777" w:rsidR="00B02B1B" w:rsidRDefault="00B0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442A4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0A6400"/>
    <w:multiLevelType w:val="multilevel"/>
    <w:tmpl w:val="305EE2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023D9D"/>
    <w:multiLevelType w:val="multilevel"/>
    <w:tmpl w:val="8A1A73A6"/>
    <w:numStyleLink w:val="3"/>
  </w:abstractNum>
  <w:abstractNum w:abstractNumId="3" w15:restartNumberingAfterBreak="0">
    <w:nsid w:val="1A2C36A3"/>
    <w:multiLevelType w:val="hybridMultilevel"/>
    <w:tmpl w:val="A1720B16"/>
    <w:styleLink w:val="2"/>
    <w:lvl w:ilvl="0" w:tplc="9F90D7EC">
      <w:start w:val="1"/>
      <w:numFmt w:val="bullet"/>
      <w:lvlText w:val="●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A296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E41EF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AE7E6">
      <w:start w:val="1"/>
      <w:numFmt w:val="bullet"/>
      <w:lvlText w:val="●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92D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C280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3490">
      <w:start w:val="1"/>
      <w:numFmt w:val="bullet"/>
      <w:lvlText w:val="●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5AFE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4112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566BC7"/>
    <w:multiLevelType w:val="multilevel"/>
    <w:tmpl w:val="BD40E7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 w15:restartNumberingAfterBreak="0">
    <w:nsid w:val="1E9A401F"/>
    <w:multiLevelType w:val="hybridMultilevel"/>
    <w:tmpl w:val="E8D273FC"/>
    <w:lvl w:ilvl="0" w:tplc="23B092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BEF2C226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D755E1"/>
    <w:multiLevelType w:val="hybridMultilevel"/>
    <w:tmpl w:val="A1720B16"/>
    <w:numStyleLink w:val="2"/>
  </w:abstractNum>
  <w:abstractNum w:abstractNumId="7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E813817"/>
    <w:multiLevelType w:val="hybridMultilevel"/>
    <w:tmpl w:val="2E586104"/>
    <w:numStyleLink w:val="1"/>
  </w:abstractNum>
  <w:abstractNum w:abstractNumId="9" w15:restartNumberingAfterBreak="0">
    <w:nsid w:val="3F810999"/>
    <w:multiLevelType w:val="hybridMultilevel"/>
    <w:tmpl w:val="A1720B16"/>
    <w:numStyleLink w:val="2"/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AA1A31"/>
    <w:multiLevelType w:val="hybridMultilevel"/>
    <w:tmpl w:val="EFCABC66"/>
    <w:lvl w:ilvl="0" w:tplc="82C420AE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3178"/>
    <w:multiLevelType w:val="hybridMultilevel"/>
    <w:tmpl w:val="2E586104"/>
    <w:styleLink w:val="1"/>
    <w:lvl w:ilvl="0" w:tplc="5F9C46B6">
      <w:start w:val="1"/>
      <w:numFmt w:val="bullet"/>
      <w:lvlText w:val="·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A7F3C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28D8E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16A022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8FA04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BE42E6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C2A6A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ACC7B0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6C274E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4" w15:restartNumberingAfterBreak="0">
    <w:nsid w:val="68857305"/>
    <w:multiLevelType w:val="multilevel"/>
    <w:tmpl w:val="8A1A73A6"/>
    <w:styleLink w:val="3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  <w:tab w:val="left" w:pos="1418"/>
        </w:tabs>
        <w:ind w:left="420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8"/>
        </w:tabs>
        <w:ind w:left="683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972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1621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191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2559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2848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3497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 w15:restartNumberingAfterBreak="0">
    <w:nsid w:val="7C6872C1"/>
    <w:multiLevelType w:val="hybridMultilevel"/>
    <w:tmpl w:val="2E586104"/>
    <w:numStyleLink w:val="1"/>
  </w:abstractNum>
  <w:abstractNum w:abstractNumId="18" w15:restartNumberingAfterBreak="0">
    <w:nsid w:val="7CDE1DFE"/>
    <w:multiLevelType w:val="multilevel"/>
    <w:tmpl w:val="8A1A73A6"/>
    <w:numStyleLink w:val="3"/>
  </w:abstractNum>
  <w:num w:numId="1" w16cid:durableId="1249267689">
    <w:abstractNumId w:val="16"/>
  </w:num>
  <w:num w:numId="2" w16cid:durableId="1742171589">
    <w:abstractNumId w:val="13"/>
  </w:num>
  <w:num w:numId="3" w16cid:durableId="224340269">
    <w:abstractNumId w:val="15"/>
  </w:num>
  <w:num w:numId="4" w16cid:durableId="111517930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5" w16cid:durableId="1197036217">
    <w:abstractNumId w:val="1"/>
  </w:num>
  <w:num w:numId="6" w16cid:durableId="131681163">
    <w:abstractNumId w:val="11"/>
  </w:num>
  <w:num w:numId="7" w16cid:durableId="817108374">
    <w:abstractNumId w:val="4"/>
  </w:num>
  <w:num w:numId="8" w16cid:durableId="144709218">
    <w:abstractNumId w:val="10"/>
  </w:num>
  <w:num w:numId="9" w16cid:durableId="405885211">
    <w:abstractNumId w:val="7"/>
  </w:num>
  <w:num w:numId="10" w16cid:durableId="47252230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86578100">
    <w:abstractNumId w:val="12"/>
  </w:num>
  <w:num w:numId="12" w16cid:durableId="1111825310">
    <w:abstractNumId w:val="8"/>
  </w:num>
  <w:num w:numId="13" w16cid:durableId="1041175711">
    <w:abstractNumId w:val="3"/>
  </w:num>
  <w:num w:numId="14" w16cid:durableId="965426766">
    <w:abstractNumId w:val="9"/>
  </w:num>
  <w:num w:numId="15" w16cid:durableId="239337489">
    <w:abstractNumId w:val="14"/>
  </w:num>
  <w:num w:numId="16" w16cid:durableId="1182358197">
    <w:abstractNumId w:val="18"/>
  </w:num>
  <w:num w:numId="17" w16cid:durableId="1471940352">
    <w:abstractNumId w:val="17"/>
  </w:num>
  <w:num w:numId="18" w16cid:durableId="2088724323">
    <w:abstractNumId w:val="6"/>
  </w:num>
  <w:num w:numId="19" w16cid:durableId="153978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52"/>
    <w:rsid w:val="001D6D6D"/>
    <w:rsid w:val="001F1904"/>
    <w:rsid w:val="003B55B3"/>
    <w:rsid w:val="00623C88"/>
    <w:rsid w:val="00712FE5"/>
    <w:rsid w:val="00960376"/>
    <w:rsid w:val="00AB6072"/>
    <w:rsid w:val="00AE38C9"/>
    <w:rsid w:val="00B02B1B"/>
    <w:rsid w:val="00B9300F"/>
    <w:rsid w:val="00DC7652"/>
    <w:rsid w:val="00E27889"/>
    <w:rsid w:val="00E32CCC"/>
    <w:rsid w:val="00EA6756"/>
    <w:rsid w:val="00F0579A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B4789"/>
  <w15:chartTrackingRefBased/>
  <w15:docId w15:val="{00B97B5B-29E5-4682-9326-2C997871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5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20">
    <w:name w:val="heading 2"/>
    <w:basedOn w:val="a"/>
    <w:next w:val="a"/>
    <w:link w:val="21"/>
    <w:qFormat/>
    <w:rsid w:val="00DC7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C7652"/>
    <w:pPr>
      <w:keepNext/>
      <w:widowControl w:val="0"/>
      <w:spacing w:before="120" w:after="120"/>
      <w:outlineLvl w:val="3"/>
    </w:pPr>
    <w:rPr>
      <w:rFonts w:eastAsia="Times New Roman"/>
      <w:b/>
      <w:i/>
      <w:kern w:val="28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C7652"/>
    <w:rPr>
      <w:rFonts w:ascii="Arial" w:eastAsia="Calibri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DC7652"/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  <w14:ligatures w14:val="none"/>
    </w:rPr>
  </w:style>
  <w:style w:type="paragraph" w:styleId="a3">
    <w:name w:val="Body Text Indent"/>
    <w:basedOn w:val="a"/>
    <w:link w:val="a4"/>
    <w:rsid w:val="00DC7652"/>
    <w:pPr>
      <w:ind w:right="-57" w:firstLine="720"/>
      <w:jc w:val="both"/>
    </w:pPr>
    <w:rPr>
      <w:rFonts w:ascii="Arial" w:hAnsi="Arial"/>
      <w:lang w:val="x-none"/>
    </w:rPr>
  </w:style>
  <w:style w:type="character" w:customStyle="1" w:styleId="a4">
    <w:name w:val="Основной текст с отступом Знак"/>
    <w:basedOn w:val="a0"/>
    <w:link w:val="a3"/>
    <w:rsid w:val="00DC7652"/>
    <w:rPr>
      <w:rFonts w:ascii="Arial" w:eastAsia="Calibri" w:hAnsi="Arial" w:cs="Times New Roman"/>
      <w:kern w:val="0"/>
      <w:sz w:val="24"/>
      <w:szCs w:val="24"/>
      <w:lang w:val="x-none" w:eastAsia="ru-RU"/>
      <w14:ligatures w14:val="none"/>
    </w:rPr>
  </w:style>
  <w:style w:type="paragraph" w:customStyle="1" w:styleId="10">
    <w:name w:val="Обычный1"/>
    <w:rsid w:val="00DC765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a5">
    <w:name w:val="абзац"/>
    <w:basedOn w:val="a"/>
    <w:rsid w:val="00DC765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22">
    <w:name w:val="List 2"/>
    <w:basedOn w:val="a"/>
    <w:rsid w:val="00DC7652"/>
    <w:pPr>
      <w:autoSpaceDE w:val="0"/>
      <w:autoSpaceDN w:val="0"/>
      <w:ind w:left="566" w:hanging="283"/>
    </w:pPr>
  </w:style>
  <w:style w:type="paragraph" w:styleId="a6">
    <w:name w:val="Balloon Text"/>
    <w:basedOn w:val="a"/>
    <w:link w:val="a7"/>
    <w:semiHidden/>
    <w:rsid w:val="00DC765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DC7652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11">
    <w:name w:val="Рецензия1"/>
    <w:hidden/>
    <w:semiHidden/>
    <w:rsid w:val="00DC765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annotation reference"/>
    <w:semiHidden/>
    <w:rsid w:val="00DC7652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DC7652"/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semiHidden/>
    <w:rsid w:val="00DC7652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annotation subject"/>
    <w:basedOn w:val="a9"/>
    <w:next w:val="a9"/>
    <w:link w:val="ac"/>
    <w:semiHidden/>
    <w:rsid w:val="00DC7652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C7652"/>
    <w:rPr>
      <w:rFonts w:ascii="Times New Roman" w:eastAsia="Calibri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12">
    <w:name w:val="Абзац списка1"/>
    <w:basedOn w:val="a"/>
    <w:rsid w:val="00DC765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link w:val="ae"/>
    <w:rsid w:val="00DC7652"/>
    <w:rPr>
      <w:rFonts w:ascii="Times New Roman" w:eastAsia="Times New Roman" w:hAnsi="Times New Roman"/>
      <w:sz w:val="18"/>
      <w:szCs w:val="24"/>
    </w:rPr>
  </w:style>
  <w:style w:type="paragraph" w:styleId="ae">
    <w:name w:val="header"/>
    <w:basedOn w:val="a"/>
    <w:link w:val="ad"/>
    <w:rsid w:val="00DC7652"/>
    <w:pPr>
      <w:tabs>
        <w:tab w:val="center" w:pos="4677"/>
        <w:tab w:val="right" w:pos="9355"/>
      </w:tabs>
      <w:spacing w:after="120"/>
      <w:jc w:val="both"/>
    </w:pPr>
    <w:rPr>
      <w:rFonts w:eastAsia="Times New Roman" w:cstheme="minorBidi"/>
      <w:kern w:val="2"/>
      <w:sz w:val="18"/>
      <w:lang w:eastAsia="en-US"/>
      <w14:ligatures w14:val="standardContextual"/>
    </w:rPr>
  </w:style>
  <w:style w:type="character" w:customStyle="1" w:styleId="13">
    <w:name w:val="Верхний колонтитул Знак1"/>
    <w:basedOn w:val="a0"/>
    <w:uiPriority w:val="99"/>
    <w:semiHidden/>
    <w:rsid w:val="00DC7652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Нижний колонтитул Знак"/>
    <w:link w:val="af0"/>
    <w:rsid w:val="00DC7652"/>
    <w:rPr>
      <w:rFonts w:ascii="Times New Roman" w:eastAsia="Times New Roman" w:hAnsi="Times New Roman"/>
      <w:sz w:val="18"/>
      <w:szCs w:val="24"/>
    </w:rPr>
  </w:style>
  <w:style w:type="paragraph" w:styleId="af0">
    <w:name w:val="footer"/>
    <w:basedOn w:val="a"/>
    <w:link w:val="af"/>
    <w:rsid w:val="00DC7652"/>
    <w:pPr>
      <w:tabs>
        <w:tab w:val="center" w:pos="4677"/>
        <w:tab w:val="right" w:pos="9355"/>
      </w:tabs>
      <w:spacing w:after="120"/>
      <w:jc w:val="both"/>
    </w:pPr>
    <w:rPr>
      <w:rFonts w:eastAsia="Times New Roman" w:cstheme="minorBidi"/>
      <w:kern w:val="2"/>
      <w:sz w:val="18"/>
      <w:lang w:eastAsia="en-US"/>
      <w14:ligatures w14:val="standardContextual"/>
    </w:rPr>
  </w:style>
  <w:style w:type="character" w:customStyle="1" w:styleId="14">
    <w:name w:val="Нижний колонтитул Знак1"/>
    <w:basedOn w:val="a0"/>
    <w:uiPriority w:val="99"/>
    <w:semiHidden/>
    <w:rsid w:val="00DC7652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rsid w:val="00DC7652"/>
  </w:style>
  <w:style w:type="character" w:customStyle="1" w:styleId="af2">
    <w:name w:val="Текст сноски Знак"/>
    <w:link w:val="af3"/>
    <w:rsid w:val="00DC7652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rsid w:val="00DC7652"/>
    <w:pPr>
      <w:spacing w:after="120"/>
      <w:jc w:val="both"/>
    </w:pPr>
    <w:rPr>
      <w:rFonts w:eastAsia="Times New Roman" w:cstheme="minorBidi"/>
      <w:kern w:val="2"/>
      <w:sz w:val="22"/>
      <w:szCs w:val="22"/>
      <w:lang w:eastAsia="en-US"/>
      <w14:ligatures w14:val="standardContextual"/>
    </w:rPr>
  </w:style>
  <w:style w:type="character" w:customStyle="1" w:styleId="15">
    <w:name w:val="Текст сноски Знак1"/>
    <w:basedOn w:val="a0"/>
    <w:uiPriority w:val="99"/>
    <w:semiHidden/>
    <w:rsid w:val="00DC7652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styleId="af4">
    <w:name w:val="footnote reference"/>
    <w:rsid w:val="00DC7652"/>
    <w:rPr>
      <w:vertAlign w:val="superscript"/>
    </w:rPr>
  </w:style>
  <w:style w:type="paragraph" w:customStyle="1" w:styleId="BodyText22">
    <w:name w:val="Body Text 22"/>
    <w:basedOn w:val="a"/>
    <w:rsid w:val="00DC7652"/>
    <w:pPr>
      <w:autoSpaceDE w:val="0"/>
      <w:autoSpaceDN w:val="0"/>
      <w:spacing w:before="120" w:line="312" w:lineRule="auto"/>
      <w:ind w:right="45"/>
      <w:jc w:val="center"/>
    </w:pPr>
    <w:rPr>
      <w:rFonts w:eastAsia="Times New Roman"/>
      <w:b/>
      <w:bCs/>
      <w:sz w:val="28"/>
      <w:szCs w:val="28"/>
    </w:rPr>
  </w:style>
  <w:style w:type="paragraph" w:styleId="af5">
    <w:name w:val="Revision"/>
    <w:hidden/>
    <w:uiPriority w:val="99"/>
    <w:semiHidden/>
    <w:rsid w:val="00DC765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f6">
    <w:name w:val="Hyperlink"/>
    <w:rsid w:val="00DC7652"/>
    <w:rPr>
      <w:color w:val="0563C1"/>
      <w:u w:val="single"/>
    </w:rPr>
  </w:style>
  <w:style w:type="numbering" w:customStyle="1" w:styleId="1">
    <w:name w:val="Импортированный стиль 1"/>
    <w:rsid w:val="00DC7652"/>
    <w:pPr>
      <w:numPr>
        <w:numId w:val="11"/>
      </w:numPr>
    </w:pPr>
  </w:style>
  <w:style w:type="numbering" w:customStyle="1" w:styleId="2">
    <w:name w:val="Импортированный стиль 2"/>
    <w:rsid w:val="00DC7652"/>
    <w:pPr>
      <w:numPr>
        <w:numId w:val="13"/>
      </w:numPr>
    </w:pPr>
  </w:style>
  <w:style w:type="numbering" w:customStyle="1" w:styleId="3">
    <w:name w:val="Импортированный стиль 3"/>
    <w:rsid w:val="00DC7652"/>
    <w:pPr>
      <w:numPr>
        <w:numId w:val="15"/>
      </w:numPr>
    </w:pPr>
  </w:style>
  <w:style w:type="paragraph" w:styleId="af7">
    <w:name w:val="Plain Text"/>
    <w:link w:val="af8"/>
    <w:rsid w:val="00DC76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character" w:customStyle="1" w:styleId="af8">
    <w:name w:val="Текст Знак"/>
    <w:basedOn w:val="a0"/>
    <w:link w:val="af7"/>
    <w:rsid w:val="00DC7652"/>
    <w:rPr>
      <w:rFonts w:ascii="Courier New" w:eastAsia="Courier New" w:hAnsi="Courier New" w:cs="Courier New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paragraph" w:styleId="af9">
    <w:name w:val="List Paragraph"/>
    <w:rsid w:val="00DC76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paragraph" w:customStyle="1" w:styleId="ConsPlusNormal">
    <w:name w:val="ConsPlusNormal"/>
    <w:rsid w:val="00DC765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kern w:val="0"/>
      <w:sz w:val="16"/>
      <w:szCs w:val="16"/>
      <w:u w:color="000000"/>
      <w:bdr w:val="nil"/>
      <w:lang w:eastAsia="ru-RU"/>
      <w14:ligatures w14:val="none"/>
    </w:rPr>
  </w:style>
  <w:style w:type="paragraph" w:customStyle="1" w:styleId="afa">
    <w:next w:val="afb"/>
    <w:link w:val="afc"/>
    <w:uiPriority w:val="10"/>
    <w:qFormat/>
    <w:rsid w:val="00DC76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character" w:customStyle="1" w:styleId="afc">
    <w:name w:val="Название Знак"/>
    <w:link w:val="afa"/>
    <w:uiPriority w:val="10"/>
    <w:rsid w:val="00DC7652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paragraph" w:styleId="afb">
    <w:name w:val="Title"/>
    <w:basedOn w:val="a"/>
    <w:next w:val="a"/>
    <w:link w:val="afd"/>
    <w:uiPriority w:val="10"/>
    <w:qFormat/>
    <w:rsid w:val="00DC76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b"/>
    <w:uiPriority w:val="10"/>
    <w:rsid w:val="00DC76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Филановский Евгений Леонидович</dc:creator>
  <cp:keywords/>
  <dc:description/>
  <cp:lastModifiedBy>Ахтямзянова Айгуль Василовна</cp:lastModifiedBy>
  <cp:revision>3</cp:revision>
  <dcterms:created xsi:type="dcterms:W3CDTF">2023-10-31T07:11:00Z</dcterms:created>
  <dcterms:modified xsi:type="dcterms:W3CDTF">2023-10-31T07:13:00Z</dcterms:modified>
</cp:coreProperties>
</file>