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20"/>
        <w:gridCol w:w="4949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1D1F42" w:rsidRPr="00407CC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30FD0" w:rsidRDefault="0065762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D302B6" w:rsidRDefault="00D302B6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D302B6" w:rsidRDefault="00A574A0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A574A0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2015,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срок действия: 22.12.2017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передается Приобретателю, как победителю по итогам открытых торгов в рамках конкурсного производства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</w:t>
      </w:r>
      <w:proofErr w:type="gramStart"/>
      <w:r w:rsidR="00C31284" w:rsidRPr="00C3128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B73F20" w:rsidRPr="00B73F20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</w:t>
      </w:r>
      <w:proofErr w:type="spellStart"/>
      <w:r w:rsidR="004C6D77" w:rsidRPr="005B7A6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4C6D77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0F1" w:rsidRPr="00FF50F1">
        <w:rPr>
          <w:rFonts w:ascii="Times New Roman" w:hAnsi="Times New Roman" w:cs="Times New Roman"/>
          <w:sz w:val="24"/>
          <w:szCs w:val="24"/>
        </w:rPr>
        <w:t>Платежное</w:t>
      </w:r>
      <w:proofErr w:type="spellEnd"/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r w:rsidR="00B73F20" w:rsidRPr="00B73F20">
        <w:rPr>
          <w:rFonts w:ascii="Times New Roman" w:hAnsi="Times New Roman" w:cs="Times New Roman"/>
          <w:color w:val="FF0000"/>
          <w:sz w:val="24"/>
          <w:szCs w:val="24"/>
        </w:rPr>
        <w:t>Р/с 40702810838000145008, ПАО Сбербанк, К/с 30101810400000000225, БИК 044525225</w:t>
      </w:r>
      <w:r w:rsidR="00B73F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4.3. В случае, если в течение срока, установленного для оплаты, денежные средства не </w:t>
      </w:r>
      <w:r w:rsidRPr="00091E34">
        <w:rPr>
          <w:rFonts w:ascii="Times New Roman" w:hAnsi="Times New Roman" w:cs="Times New Roman"/>
          <w:sz w:val="24"/>
          <w:szCs w:val="24"/>
        </w:rPr>
        <w:lastRenderedPageBreak/>
        <w:t>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9D3041">
        <w:rPr>
          <w:rFonts w:ascii="Times New Roman" w:hAnsi="Times New Roman" w:cs="Times New Roman"/>
          <w:sz w:val="24"/>
          <w:szCs w:val="24"/>
        </w:rPr>
        <w:t xml:space="preserve">каждой из Сторон, один экземпляр для 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="009D3041">
        <w:rPr>
          <w:rFonts w:ascii="Times New Roman" w:hAnsi="Times New Roman" w:cs="Times New Roman"/>
          <w:sz w:val="24"/>
          <w:szCs w:val="24"/>
        </w:rPr>
        <w:t>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Р/с 40702810838000145008,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Сбербанк, К/с 30101810400000000225, БИК 044525225.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B923F0" w:rsidP="00A752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F50F1" w:rsidRPr="006C233E">
        <w:rPr>
          <w:rFonts w:ascii="Times New Roman" w:hAnsi="Times New Roman" w:cs="Times New Roman"/>
        </w:rPr>
        <w:t>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«___» _______ 202</w:t>
      </w:r>
      <w:r w:rsidR="00FC2B5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</w:t>
      </w:r>
      <w:proofErr w:type="gramStart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>1.2.,</w:t>
      </w:r>
      <w:proofErr w:type="gramEnd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25.05.2015,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ограничения прав на земельный участок,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673B36" w:rsidRPr="00C02EE0" w:rsidRDefault="00B923F0" w:rsidP="00C02EE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  <w:r w:rsidR="00C02EE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1"/>
    <w:rsid w:val="00014F80"/>
    <w:rsid w:val="00024BB6"/>
    <w:rsid w:val="000447B8"/>
    <w:rsid w:val="00091E34"/>
    <w:rsid w:val="000A67FA"/>
    <w:rsid w:val="000A72DD"/>
    <w:rsid w:val="000F1ED4"/>
    <w:rsid w:val="00146DDF"/>
    <w:rsid w:val="00167101"/>
    <w:rsid w:val="001935A8"/>
    <w:rsid w:val="001B633F"/>
    <w:rsid w:val="001D1F42"/>
    <w:rsid w:val="001F7F58"/>
    <w:rsid w:val="002000E1"/>
    <w:rsid w:val="00220929"/>
    <w:rsid w:val="00274B99"/>
    <w:rsid w:val="002E071C"/>
    <w:rsid w:val="002F1AC3"/>
    <w:rsid w:val="00343DCC"/>
    <w:rsid w:val="00407CC2"/>
    <w:rsid w:val="004B3A0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803D1B"/>
    <w:rsid w:val="008403B0"/>
    <w:rsid w:val="0084793F"/>
    <w:rsid w:val="008C4C64"/>
    <w:rsid w:val="008C702B"/>
    <w:rsid w:val="008E065F"/>
    <w:rsid w:val="0091457B"/>
    <w:rsid w:val="00935DCE"/>
    <w:rsid w:val="00956206"/>
    <w:rsid w:val="00962C0A"/>
    <w:rsid w:val="009D3041"/>
    <w:rsid w:val="00A574A0"/>
    <w:rsid w:val="00A60882"/>
    <w:rsid w:val="00A752BF"/>
    <w:rsid w:val="00A801B5"/>
    <w:rsid w:val="00AC4BEF"/>
    <w:rsid w:val="00B57FD2"/>
    <w:rsid w:val="00B73F20"/>
    <w:rsid w:val="00B877CB"/>
    <w:rsid w:val="00B923F0"/>
    <w:rsid w:val="00BA7803"/>
    <w:rsid w:val="00BC29DF"/>
    <w:rsid w:val="00C02EE0"/>
    <w:rsid w:val="00C31284"/>
    <w:rsid w:val="00C401C7"/>
    <w:rsid w:val="00CD5A61"/>
    <w:rsid w:val="00CE7EE4"/>
    <w:rsid w:val="00D302B6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C2B59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FB98D-3A40-42BC-AB73-609098B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18</cp:revision>
  <dcterms:created xsi:type="dcterms:W3CDTF">2022-07-26T14:06:00Z</dcterms:created>
  <dcterms:modified xsi:type="dcterms:W3CDTF">2023-09-29T08:18:00Z</dcterms:modified>
</cp:coreProperties>
</file>