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27111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Закрытое акционерное общество «Автосалон Арго», именуемое в дальнейшем Арендодатель, в лице конкурсного управляющего </w:t>
      </w:r>
      <w:proofErr w:type="spellStart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Определения Арбитражного суда Самарской области по делу от 21.07.2023 г. №А55-37731/2019 от 21.07.2023 г.,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641DE5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641DE5" w:rsidRPr="00641DE5">
        <w:rPr>
          <w:rFonts w:cs="Tahoma"/>
          <w:color w:val="000000"/>
          <w:sz w:val="21"/>
          <w:szCs w:val="21"/>
        </w:rPr>
        <w:t xml:space="preserve">Лот №2 Движимое имущество (б/у оборудование для автосервиса, офисная мебель и техника) по адресу: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г.Самара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ул.Аэродромная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, 13, а именно: стул 7ед., кресло компьютерное черное 2ед., кондиционер Тропик 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кондиционер Хитачи 1ед., кондиционер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тумба стекло 1ед., шкаф стеллаж тумба дерево.3 полки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антессоль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дерево 1 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Оптима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135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ТР_Link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(16)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(1) 1ед., видеорегистратор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wang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телевизор LG 48" 1ед., диван кож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коричн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стол журнальный 1ед., вешалка 2ед., стол компьютерный 3ед., стеллаж 3 полки 1ед., сигнализация Сигнал ВК 4 1ед., счетная машинка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Plus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NS I1406016 1ед., сейф серый 1ед., табурет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магнитолла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скан МЕРС С 98 ict220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ingeniko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ipp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220 скан 1ед., кассовый аппарат 2ед., клавиатура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Genius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8ед., стол канцелярский 2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ящ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подставка под системный блок 1ед., ПРИНТЕР HP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1018 1ед., ПРИНТЕР HP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1020 1ед., монитор LG 17'' 2ед., шкаф дерево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кассовый аппарат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Куперкомп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ises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300 1ед., сканер Dors1000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(16) 1ед., сканер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Dorsультрофиолет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детектор 1ед., системный блок 1ед., системный блок 1ед., сейф серый 1ед., стеллаж 5 полок 3ед., стеллаж 7 полок 14ед., стеллаж 4 полки 1ед., шкаф бытовочный 5ед., душевая кабина 1ед., стеллаж 3 полки</w:t>
      </w:r>
      <w:r w:rsidR="00641DE5">
        <w:rPr>
          <w:rFonts w:cs="Tahoma"/>
          <w:color w:val="000000"/>
          <w:sz w:val="21"/>
          <w:szCs w:val="21"/>
        </w:rPr>
        <w:t xml:space="preserve"> </w:t>
      </w:r>
      <w:r w:rsidR="00641DE5" w:rsidRPr="00641DE5">
        <w:rPr>
          <w:rFonts w:cs="Tahoma"/>
          <w:color w:val="000000"/>
          <w:sz w:val="21"/>
          <w:szCs w:val="21"/>
        </w:rPr>
        <w:t xml:space="preserve">2ед., лестница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алюминевая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фильтр водяной-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пеногенератор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50л 1ед., насос погружной 1ед., кран гаражный 1ед., МФУ HP 1ед., сейф серый 1ед., контейнер для мусора 2ед., контейнер для мусора 1ед., верстак 4ед., устройство для слива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отработ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масла 1ед., тиски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электро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наждак 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гидропресс АРАК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шиномонтаж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разбортов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.+балансировка) 1ед., аппарат для колес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регулеровка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фар 1ед., тумба 3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ящ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витрина со стеклом 4 полки 1ед., принтер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Hp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1018 1ед., стойка витрина дерево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куллер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зарядное устройство Динамик 620 1ед., принудительная вентиляция 1ед., сканер для диагностики 1ед., стяжка для пружин 1ед., промывка топливной системы 1ед., водонагреватель 2ед.,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пневмокомпрессор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скамейка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подкатная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шкаф инструментальный перфорированный 1ед., Ящик металлический 3ед., рекламная стойка 1ед., шкаф деревянный 2ед., стол 3ед., стеллаж 4 полки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электро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приточная установка 1ед., стеллаж сдвоенный 10ед., емкость для масла 1ед., подъемник 2х стоечный 4ед., подъемник 4х стоечный 1ед., Компрессор 1ед., тумба для инструментов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 4ед.,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гидро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подпорка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Draper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подпорка ручная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стенд развала схождения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Hunter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PA130 1ед.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  <w:bookmarkStart w:id="0" w:name="_GoBack"/>
      <w:bookmarkEnd w:id="0"/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Закрытое акционерное общество «Автосалон Арго»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Адрес регистрации: г. Самара, ул. Аэродромная, 13, почтовый адрес: 443099,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а/я2959,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К.Ю.</w:t>
      </w:r>
    </w:p>
    <w:p w:rsidR="00FA7044" w:rsidRPr="0066331A" w:rsidRDefault="00427111" w:rsidP="00427111">
      <w:pPr>
        <w:spacing w:line="100" w:lineRule="atLeast"/>
        <w:jc w:val="both"/>
        <w:rPr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ИНН 6311041667 ОГРН 1036300004410 Ф-л Приволжский ПАО Банк «ФК Открытие» 603006, г. Нижний Новгород, ул.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Ковалихинская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д.8 к/с 30101810300000000881 в РКЦ Советский р/с </w:t>
      </w:r>
      <w:proofErr w:type="gram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40702810701400009053  БИК</w:t>
      </w:r>
      <w:proofErr w:type="gram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042282881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427111"/>
    <w:rsid w:val="00641DE5"/>
    <w:rsid w:val="0066331A"/>
    <w:rsid w:val="009D028D"/>
    <w:rsid w:val="00A1145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3</cp:revision>
  <cp:lastPrinted>1899-12-31T20:00:00Z</cp:lastPrinted>
  <dcterms:created xsi:type="dcterms:W3CDTF">2023-11-15T16:26:00Z</dcterms:created>
  <dcterms:modified xsi:type="dcterms:W3CDTF">2023-11-15T16:27:00Z</dcterms:modified>
</cp:coreProperties>
</file>