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A5CA" w14:textId="17349A23" w:rsidR="00B078A0" w:rsidRPr="006A10E7" w:rsidRDefault="008B017E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A10E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</w:t>
      </w:r>
      <w:r w:rsidRPr="006A10E7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10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428018, Чувашская Республика, г. Чебоксары, Проспект Московский, 3, ИНН 2129007126, ОГРН 1022100000064) </w:t>
      </w:r>
      <w:r w:rsidRPr="006A10E7">
        <w:rPr>
          <w:rFonts w:ascii="Times New Roman" w:hAnsi="Times New Roman" w:cs="Times New Roman"/>
          <w:sz w:val="24"/>
          <w:szCs w:val="24"/>
        </w:rPr>
        <w:t>(далее – финансовая организация),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4)</w:t>
      </w:r>
      <w:r w:rsidR="00B078A0"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6A10E7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0E7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5809E90F" w:rsidR="00B078A0" w:rsidRPr="006A10E7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0E7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54C173E7" w14:textId="77777777" w:rsidR="00AD0E5F" w:rsidRPr="006A10E7" w:rsidRDefault="00AD0E5F" w:rsidP="00AD0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Лот 1 - ООО "Капитал плюс", ИНН 2124025442 (поручители ООО "Базис", ИНН 2130116472, </w:t>
      </w:r>
      <w:proofErr w:type="spellStart"/>
      <w:r w:rsidRPr="006A10E7">
        <w:rPr>
          <w:rFonts w:ascii="Times New Roman" w:hAnsi="Times New Roman" w:cs="Times New Roman"/>
          <w:color w:val="000000"/>
          <w:sz w:val="24"/>
          <w:szCs w:val="24"/>
        </w:rPr>
        <w:t>Саканин</w:t>
      </w:r>
      <w:proofErr w:type="spellEnd"/>
      <w:r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 Андрей Александрович), </w:t>
      </w:r>
      <w:proofErr w:type="spellStart"/>
      <w:r w:rsidRPr="006A10E7">
        <w:rPr>
          <w:rFonts w:ascii="Times New Roman" w:hAnsi="Times New Roman" w:cs="Times New Roman"/>
          <w:color w:val="000000"/>
          <w:sz w:val="24"/>
          <w:szCs w:val="24"/>
        </w:rPr>
        <w:t>Саканин</w:t>
      </w:r>
      <w:proofErr w:type="spellEnd"/>
      <w:r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 Андрей Александрович (поручитель ООО "Базис", ИНН 2130116472), </w:t>
      </w:r>
      <w:proofErr w:type="spellStart"/>
      <w:r w:rsidRPr="006A10E7">
        <w:rPr>
          <w:rFonts w:ascii="Times New Roman" w:hAnsi="Times New Roman" w:cs="Times New Roman"/>
          <w:color w:val="000000"/>
          <w:sz w:val="24"/>
          <w:szCs w:val="24"/>
        </w:rPr>
        <w:t>Шулинина</w:t>
      </w:r>
      <w:proofErr w:type="spellEnd"/>
      <w:r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 Анна Владимировна (поручители ООО "Базис, ИНН 2130116472, </w:t>
      </w:r>
      <w:proofErr w:type="spellStart"/>
      <w:r w:rsidRPr="006A10E7">
        <w:rPr>
          <w:rFonts w:ascii="Times New Roman" w:hAnsi="Times New Roman" w:cs="Times New Roman"/>
          <w:color w:val="000000"/>
          <w:sz w:val="24"/>
          <w:szCs w:val="24"/>
        </w:rPr>
        <w:t>Шулинин</w:t>
      </w:r>
      <w:proofErr w:type="spellEnd"/>
      <w:r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 Денис Владимирович), КД 0024-2019/</w:t>
      </w:r>
      <w:proofErr w:type="spellStart"/>
      <w:r w:rsidRPr="006A10E7">
        <w:rPr>
          <w:rFonts w:ascii="Times New Roman" w:hAnsi="Times New Roman" w:cs="Times New Roman"/>
          <w:color w:val="000000"/>
          <w:sz w:val="24"/>
          <w:szCs w:val="24"/>
        </w:rPr>
        <w:t>овер</w:t>
      </w:r>
      <w:proofErr w:type="spellEnd"/>
      <w:r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 от 21.06.2019, решение Московского районного суда г. Чебоксары от 03.03.2021 по делу 2-307/2021, КД 0012-2019 от 10.04.2019, решение Московского районного суда г. Чебоксары от 16.09.2020 по делу 2-2777/2020, КД 3691-2018-(4) от 21.09.2018, решение Московского районного суда г. Чебоксары от 10.02.2021 по делу 2-245/2021, КД 3658-2018-(3) от 19.06.2018, определение АС Омской области о включении в РТК от 02.04.2021 по делу А46-18939/2020 как требование обеспеченное залогом имущества должника, определением АС Омской области от 09.02.2023 завершена процедура реализации имущества должника, </w:t>
      </w:r>
      <w:proofErr w:type="spellStart"/>
      <w:r w:rsidRPr="006A10E7">
        <w:rPr>
          <w:rFonts w:ascii="Times New Roman" w:hAnsi="Times New Roman" w:cs="Times New Roman"/>
          <w:color w:val="000000"/>
          <w:sz w:val="24"/>
          <w:szCs w:val="24"/>
        </w:rPr>
        <w:t>Шулинина</w:t>
      </w:r>
      <w:proofErr w:type="spellEnd"/>
      <w:r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 А.В. освобождена от дальнейшего исполнения требований кредиторов, ООО "Базис", ИНН 2130116472, находится в стадии банкротства (10 916 846,75 руб.) - 6 057 705,56 руб.;</w:t>
      </w:r>
    </w:p>
    <w:p w14:paraId="2C19E873" w14:textId="356E8106" w:rsidR="0032082C" w:rsidRPr="006A10E7" w:rsidRDefault="00AD0E5F" w:rsidP="00AD0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0E7">
        <w:rPr>
          <w:rFonts w:ascii="Times New Roman" w:hAnsi="Times New Roman" w:cs="Times New Roman"/>
          <w:color w:val="000000"/>
          <w:sz w:val="24"/>
          <w:szCs w:val="24"/>
        </w:rPr>
        <w:t>Лот 2 - ООО "Крокус Авто", ИНН 213006818 (поручители Дубиков Виталий Геннадьевич, Салмин Алексей Петрович), КД 0005-2018 от 25.01.2018, г. Чебоксары (6 241 100,00 руб.) - 4 998 904,16 руб.</w:t>
      </w:r>
    </w:p>
    <w:p w14:paraId="14351655" w14:textId="1CAD1648" w:rsidR="00555595" w:rsidRPr="006A10E7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0E7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6A10E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22AA966F" w:rsidR="0003404B" w:rsidRPr="006A10E7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0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6A1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6A10E7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6A10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AD0E5F" w:rsidRPr="006A10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28 ноября</w:t>
      </w:r>
      <w:r w:rsidR="00D83FC6" w:rsidRPr="006A10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</w:t>
      </w:r>
      <w:r w:rsidR="00B078A0" w:rsidRPr="006A10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AD0E5F" w:rsidRPr="006A10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 февраля</w:t>
      </w:r>
      <w:r w:rsidR="00D83FC6" w:rsidRPr="006A10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 </w:t>
      </w:r>
      <w:r w:rsidR="00B078A0" w:rsidRPr="006A10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6A10E7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0E7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EC6A97B" w:rsidR="0003404B" w:rsidRPr="006A10E7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6A1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6A1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0E5F" w:rsidRPr="006A10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 ноября</w:t>
      </w:r>
      <w:r w:rsidR="00D83FC6" w:rsidRPr="006A10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</w:t>
      </w:r>
      <w:r w:rsidR="00B078A0" w:rsidRPr="006A10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AD0E5F" w:rsidRPr="006A10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9804F8"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D0E5F" w:rsidRPr="006A10E7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="009804F8" w:rsidRPr="006A10E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A1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AD0E5F" w:rsidRPr="006A1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6A1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AD0E5F" w:rsidRPr="006A1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ня</w:t>
      </w:r>
      <w:r w:rsidRPr="006A10E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A10E7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6A10E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A10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6A10E7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0E7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6A10E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A10E7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6A10E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A10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Pr="006A10E7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0E7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6A10E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727BF8E5" w14:textId="775D6D5A" w:rsidR="00B80E51" w:rsidRPr="006A10E7" w:rsidRDefault="00AD0E5F" w:rsidP="00AD0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10E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Для лота 1:</w:t>
      </w:r>
    </w:p>
    <w:p w14:paraId="3B70AD16" w14:textId="0289391D" w:rsidR="00C64FD4" w:rsidRPr="006A10E7" w:rsidRDefault="00C64FD4" w:rsidP="00C64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с 28 ноября 2023 г. по 14 января 2024 г. - в размере </w:t>
      </w:r>
      <w:r w:rsidRPr="006A10E7">
        <w:rPr>
          <w:rFonts w:ascii="Times New Roman" w:hAnsi="Times New Roman" w:cs="Times New Roman"/>
          <w:color w:val="000000"/>
          <w:sz w:val="24"/>
          <w:szCs w:val="24"/>
        </w:rPr>
        <w:t>6 057 705,56</w:t>
      </w:r>
      <w:r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CAD092B" w14:textId="0D5A9D16" w:rsidR="00C64FD4" w:rsidRPr="006A10E7" w:rsidRDefault="00C64FD4" w:rsidP="00C64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0E7">
        <w:rPr>
          <w:rFonts w:ascii="Times New Roman" w:hAnsi="Times New Roman" w:cs="Times New Roman"/>
          <w:color w:val="000000"/>
          <w:sz w:val="24"/>
          <w:szCs w:val="24"/>
        </w:rPr>
        <w:t>с 15 января 2024 г. по 19 января 2024 г. - в размере</w:t>
      </w:r>
      <w:r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 5 653 804,67 </w:t>
      </w:r>
      <w:r w:rsidRPr="006A10E7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4545B134" w14:textId="4C59AD1A" w:rsidR="00C64FD4" w:rsidRPr="006A10E7" w:rsidRDefault="00C64FD4" w:rsidP="00C64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0E7">
        <w:rPr>
          <w:rFonts w:ascii="Times New Roman" w:hAnsi="Times New Roman" w:cs="Times New Roman"/>
          <w:color w:val="000000"/>
          <w:sz w:val="24"/>
          <w:szCs w:val="24"/>
        </w:rPr>
        <w:t>с 20 января 2024 г. по 24 января 2024 г. - в размере</w:t>
      </w:r>
      <w:r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 5 249 903,78 </w:t>
      </w:r>
      <w:r w:rsidRPr="006A10E7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1DABF807" w14:textId="1826020C" w:rsidR="00C64FD4" w:rsidRPr="006A10E7" w:rsidRDefault="00C64FD4" w:rsidP="00C64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с 25 января 2024 г. по 29 января 2024 г. - в размере </w:t>
      </w:r>
      <w:r w:rsidRPr="006A10E7">
        <w:rPr>
          <w:rFonts w:ascii="Times New Roman" w:hAnsi="Times New Roman" w:cs="Times New Roman"/>
          <w:color w:val="000000"/>
          <w:sz w:val="24"/>
          <w:szCs w:val="24"/>
        </w:rPr>
        <w:t>4 846 002,89</w:t>
      </w:r>
      <w:r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956D9BD" w14:textId="7057B4C4" w:rsidR="00C64FD4" w:rsidRPr="006A10E7" w:rsidRDefault="00C64FD4" w:rsidP="00C64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0E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30 января 2024 г. по 03 февраля 2024 г. - в размере</w:t>
      </w:r>
      <w:r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 4 442 102,00 </w:t>
      </w:r>
      <w:r w:rsidRPr="006A10E7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064A1790" w14:textId="2E222148" w:rsidR="00AD0E5F" w:rsidRPr="006A10E7" w:rsidRDefault="00C64FD4" w:rsidP="00C64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0E7">
        <w:rPr>
          <w:rFonts w:ascii="Times New Roman" w:hAnsi="Times New Roman" w:cs="Times New Roman"/>
          <w:color w:val="000000"/>
          <w:sz w:val="24"/>
          <w:szCs w:val="24"/>
        </w:rPr>
        <w:t>с 04 февраля 2024 г. по 08 февраля 2024 г. - в размере</w:t>
      </w:r>
      <w:r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 4 038 201,11 </w:t>
      </w:r>
      <w:r w:rsidRPr="006A10E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96F8FA1" w14:textId="56391D04" w:rsidR="00AD0E5F" w:rsidRPr="006A10E7" w:rsidRDefault="00AD0E5F" w:rsidP="00AD0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10E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Для лота 2:</w:t>
      </w:r>
    </w:p>
    <w:p w14:paraId="4F7F260D" w14:textId="7B82C86E" w:rsidR="00C64FD4" w:rsidRPr="006A10E7" w:rsidRDefault="00C64FD4" w:rsidP="00C64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с 28 ноября 2023 г. по 14 января 2024 г. - в размере </w:t>
      </w:r>
      <w:r w:rsidRPr="006A10E7">
        <w:rPr>
          <w:rFonts w:ascii="Times New Roman" w:hAnsi="Times New Roman" w:cs="Times New Roman"/>
          <w:color w:val="000000"/>
          <w:sz w:val="24"/>
          <w:szCs w:val="24"/>
        </w:rPr>
        <w:t>4 998 904,16</w:t>
      </w:r>
      <w:r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BE3A307" w14:textId="2A770E30" w:rsidR="00C64FD4" w:rsidRPr="006A10E7" w:rsidRDefault="00C64FD4" w:rsidP="00C64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с 15 января 2024 г. по 19 января 2024 г. - в размере </w:t>
      </w:r>
      <w:r w:rsidRPr="006A10E7">
        <w:rPr>
          <w:rFonts w:ascii="Times New Roman" w:hAnsi="Times New Roman" w:cs="Times New Roman"/>
          <w:color w:val="000000"/>
          <w:sz w:val="24"/>
          <w:szCs w:val="24"/>
        </w:rPr>
        <w:t>4 993 036,90</w:t>
      </w:r>
      <w:r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6F2295F" w14:textId="102E8C06" w:rsidR="00C64FD4" w:rsidRPr="006A10E7" w:rsidRDefault="00C64FD4" w:rsidP="00C64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с 20 января 2024 г. по 24 января 2024 г. - в размере </w:t>
      </w:r>
      <w:r w:rsidRPr="006A10E7">
        <w:rPr>
          <w:rFonts w:ascii="Times New Roman" w:hAnsi="Times New Roman" w:cs="Times New Roman"/>
          <w:color w:val="000000"/>
          <w:sz w:val="24"/>
          <w:szCs w:val="24"/>
        </w:rPr>
        <w:t>4 987 169,64</w:t>
      </w:r>
      <w:r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329F595" w14:textId="2CB8CE33" w:rsidR="00C64FD4" w:rsidRPr="006A10E7" w:rsidRDefault="00C64FD4" w:rsidP="00C64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с 25 января 2024 г. по 29 января 2024 г. - в размере </w:t>
      </w:r>
      <w:r w:rsidRPr="006A10E7">
        <w:rPr>
          <w:rFonts w:ascii="Times New Roman" w:hAnsi="Times New Roman" w:cs="Times New Roman"/>
          <w:color w:val="000000"/>
          <w:sz w:val="24"/>
          <w:szCs w:val="24"/>
        </w:rPr>
        <w:t>4 981 302,38</w:t>
      </w:r>
      <w:r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BBF2754" w14:textId="2C06D5D6" w:rsidR="00C64FD4" w:rsidRPr="006A10E7" w:rsidRDefault="00C64FD4" w:rsidP="00C64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с 30 января 2024 г. по 03 февраля 2024 г. - в размере </w:t>
      </w:r>
      <w:r w:rsidRPr="006A10E7">
        <w:rPr>
          <w:rFonts w:ascii="Times New Roman" w:hAnsi="Times New Roman" w:cs="Times New Roman"/>
          <w:color w:val="000000"/>
          <w:sz w:val="24"/>
          <w:szCs w:val="24"/>
        </w:rPr>
        <w:t>4 975 435,12</w:t>
      </w:r>
      <w:r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1D743FC" w14:textId="1532DF46" w:rsidR="00B80E51" w:rsidRPr="006A10E7" w:rsidRDefault="00C64FD4" w:rsidP="00C64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с 04 февраля 2024 г. по 08 февраля 2024 г. - в размере </w:t>
      </w:r>
      <w:r w:rsidRPr="006A10E7">
        <w:rPr>
          <w:rFonts w:ascii="Times New Roman" w:hAnsi="Times New Roman" w:cs="Times New Roman"/>
          <w:color w:val="000000"/>
          <w:sz w:val="24"/>
          <w:szCs w:val="24"/>
        </w:rPr>
        <w:t>4 969 567,86</w:t>
      </w:r>
      <w:r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46FF98F4" w14:textId="19086354" w:rsidR="008F1609" w:rsidRPr="006A10E7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A10E7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6A10E7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E7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6A10E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6A10E7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6A10E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6A10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6A10E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6A10E7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6A10E7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0E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6A10E7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0E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6A10E7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10E7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6A10E7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0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</w:t>
      </w:r>
      <w:r w:rsidRPr="006A10E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6A10E7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0E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6A10E7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0E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6A10E7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0E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Pr="006A10E7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0E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6A10E7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0E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6A10E7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6A10E7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0E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6A10E7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0E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55D1AAB0" w:rsidR="007300A5" w:rsidRPr="006A10E7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0E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Pr="006A1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6A10E7">
        <w:rPr>
          <w:rFonts w:ascii="Times New Roman" w:hAnsi="Times New Roman" w:cs="Times New Roman"/>
          <w:sz w:val="24"/>
          <w:szCs w:val="24"/>
        </w:rPr>
        <w:t xml:space="preserve"> д</w:t>
      </w:r>
      <w:r w:rsidRPr="006A1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6A10E7">
        <w:rPr>
          <w:rFonts w:ascii="Times New Roman" w:hAnsi="Times New Roman" w:cs="Times New Roman"/>
          <w:sz w:val="24"/>
          <w:szCs w:val="24"/>
        </w:rPr>
        <w:t xml:space="preserve"> </w:t>
      </w:r>
      <w:r w:rsidRPr="006A10E7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C64FD4" w:rsidRPr="006A10E7">
        <w:rPr>
          <w:rFonts w:ascii="Times New Roman" w:hAnsi="Times New Roman" w:cs="Times New Roman"/>
          <w:color w:val="000000"/>
          <w:sz w:val="24"/>
          <w:szCs w:val="24"/>
        </w:rPr>
        <w:t>Агеева Ирина, Шеронова Татьяна, тел. 8(831)419-81-83, 8(831)419-81-84, nn@auction-house.ru</w:t>
      </w:r>
      <w:r w:rsidRPr="006A10E7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6A10E7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0E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0E7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2082C"/>
    <w:rsid w:val="00360DC6"/>
    <w:rsid w:val="003E6C81"/>
    <w:rsid w:val="0043622C"/>
    <w:rsid w:val="00495D59"/>
    <w:rsid w:val="004B74A7"/>
    <w:rsid w:val="004E3B4B"/>
    <w:rsid w:val="00555595"/>
    <w:rsid w:val="005742CC"/>
    <w:rsid w:val="0058046C"/>
    <w:rsid w:val="005A7B49"/>
    <w:rsid w:val="005A7D1D"/>
    <w:rsid w:val="005F1F68"/>
    <w:rsid w:val="00621553"/>
    <w:rsid w:val="00655998"/>
    <w:rsid w:val="006A10E7"/>
    <w:rsid w:val="007058CC"/>
    <w:rsid w:val="007300A5"/>
    <w:rsid w:val="00762232"/>
    <w:rsid w:val="00775C5B"/>
    <w:rsid w:val="007840A2"/>
    <w:rsid w:val="007A10EE"/>
    <w:rsid w:val="007E3D68"/>
    <w:rsid w:val="007F641B"/>
    <w:rsid w:val="00806741"/>
    <w:rsid w:val="008B017E"/>
    <w:rsid w:val="008B15CE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AD0E5F"/>
    <w:rsid w:val="00B078A0"/>
    <w:rsid w:val="00B749D3"/>
    <w:rsid w:val="00B80E51"/>
    <w:rsid w:val="00B97A00"/>
    <w:rsid w:val="00C15400"/>
    <w:rsid w:val="00C56153"/>
    <w:rsid w:val="00C64FD4"/>
    <w:rsid w:val="00C66976"/>
    <w:rsid w:val="00D02882"/>
    <w:rsid w:val="00D115EC"/>
    <w:rsid w:val="00D16130"/>
    <w:rsid w:val="00D72F12"/>
    <w:rsid w:val="00D83FC6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52</cp:revision>
  <cp:lastPrinted>2023-11-20T11:43:00Z</cp:lastPrinted>
  <dcterms:created xsi:type="dcterms:W3CDTF">2019-07-23T07:53:00Z</dcterms:created>
  <dcterms:modified xsi:type="dcterms:W3CDTF">2023-11-20T11:47:00Z</dcterms:modified>
</cp:coreProperties>
</file>