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3704F56" w:rsidR="00E41D4C" w:rsidRPr="00E6782E" w:rsidRDefault="005747E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747E9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5747E9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5747E9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-Банк»), (адрес регистрации: 125009, г. Москва, ул. Большая Никитская, д. 17, стр. 2, ИНН 7707040963, ОГРН 1027700409791) (далее – 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6B13D06C" w:rsidR="00655998" w:rsidRPr="00E71594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ППП </w:t>
      </w:r>
      <w:r w:rsidR="00610BD6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E71594" w:rsidRPr="00E71594">
        <w:rPr>
          <w:rFonts w:ascii="Times New Roman" w:hAnsi="Times New Roman" w:cs="Times New Roman"/>
          <w:color w:val="000000"/>
          <w:sz w:val="24"/>
          <w:szCs w:val="24"/>
        </w:rPr>
        <w:t>юридическому</w:t>
      </w:r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лицу ((в скобках указана в </w:t>
      </w:r>
      <w:proofErr w:type="spellStart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614D2" w:rsidRPr="00E7159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3FBE3417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5747E9" w:rsidRPr="005747E9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«Сельскохозяйственное предприятие имени Мичурина», ИНН 3630004779, КД-К12319/01-810 от 07.07.2017, КД-КЛ-12319/02-810 от 27.07.2017, определение АС Воронежской области от 18.10.2021 по делу А14-9672/2021 о включении в третью очередь РТК на сумму 251 015 160,28 руб., определение АС Воронежской области от 24.01.2022 по делу А14-9672/2021 о включении в третью очередь РТК на сумму 82 599 877,13</w:t>
      </w:r>
      <w:proofErr w:type="gramEnd"/>
      <w:r w:rsidR="005747E9" w:rsidRPr="00574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процедура банкротства (333 615 037,41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7E9" w:rsidRPr="005747E9">
        <w:rPr>
          <w:rFonts w:ascii="Times New Roman" w:eastAsia="Times New Roman" w:hAnsi="Times New Roman" w:cs="Times New Roman"/>
          <w:color w:val="000000"/>
          <w:sz w:val="24"/>
          <w:szCs w:val="24"/>
        </w:rPr>
        <w:t>334 498 379,46</w:t>
      </w:r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3D767E1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5747E9" w:rsidRP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декабря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5747E9" w:rsidRPr="0057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74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февраля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8043619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5747E9" w:rsidRP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05 декабря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окончания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F867F9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31DA39" w14:textId="2957A177" w:rsidR="00F867F9" w:rsidRPr="00F867F9" w:rsidRDefault="00F867F9" w:rsidP="00F867F9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05 декабря 2023 г. по 19 января 2024 г. - в размере начальной цены продажи лота;</w:t>
      </w:r>
    </w:p>
    <w:p w14:paraId="7F8DA4A1" w14:textId="77777777" w:rsidR="00F867F9" w:rsidRPr="00F867F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20 января 2024 г. по 22 января 2024 г. - в размере 93,04% от начальной цены продажи лота;</w:t>
      </w:r>
    </w:p>
    <w:p w14:paraId="77F1B237" w14:textId="77777777" w:rsidR="00F867F9" w:rsidRPr="00F867F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23 января 2024 г. по 25 января 2024 г. - в размере 86,08% от начальной цены продажи лота;</w:t>
      </w:r>
    </w:p>
    <w:p w14:paraId="0E4EE065" w14:textId="77777777" w:rsidR="00F867F9" w:rsidRPr="00F867F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26 января 2024 г. по 28 января 2024 г. - в размере 79,12% от начальной цены продажи лота;</w:t>
      </w:r>
    </w:p>
    <w:p w14:paraId="03033246" w14:textId="77777777" w:rsidR="00F867F9" w:rsidRPr="00F867F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29 января 2024 г. по 31 января 2024 г. - в размере 72,16% от начальной цены продажи лота;</w:t>
      </w:r>
    </w:p>
    <w:p w14:paraId="2CAC6805" w14:textId="77777777" w:rsidR="00F867F9" w:rsidRPr="00F867F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01 февраля 2024 г. по 03 февраля 2024 г. - в размере 65,20% от начальной цены продажи лота;</w:t>
      </w:r>
    </w:p>
    <w:p w14:paraId="6D1F5152" w14:textId="77777777" w:rsidR="00F867F9" w:rsidRPr="00F867F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04 февраля 2024 г. по 06 февраля 2024 г. - в размере 58,24% от начальной цены продажи лота;</w:t>
      </w:r>
    </w:p>
    <w:p w14:paraId="657FAEE6" w14:textId="77777777" w:rsidR="00F867F9" w:rsidRPr="00F867F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07 февраля 2024 г. по 09 февраля 2024 г. - в размере 51,28% от начальной цены продажи лота;</w:t>
      </w:r>
    </w:p>
    <w:p w14:paraId="6E658DFC" w14:textId="77777777" w:rsidR="00F867F9" w:rsidRPr="00F867F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10 февраля 2024 г. по 12 февраля 2024 г. - в размере 44,32% от начальной цены продажи лота;</w:t>
      </w:r>
    </w:p>
    <w:p w14:paraId="4904F3FB" w14:textId="77777777" w:rsidR="00F867F9" w:rsidRPr="00F867F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февраля 2024 г. по 15 февраля 2024 г. - в размере 37,36% от начальной цены продажи лота;</w:t>
      </w:r>
    </w:p>
    <w:p w14:paraId="59B907D1" w14:textId="362E19AF" w:rsidR="005747E9" w:rsidRDefault="00F867F9" w:rsidP="00F86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F9">
        <w:rPr>
          <w:rFonts w:ascii="Times New Roman" w:hAnsi="Times New Roman" w:cs="Times New Roman"/>
          <w:color w:val="000000"/>
          <w:sz w:val="24"/>
          <w:szCs w:val="24"/>
        </w:rPr>
        <w:t>с 16 февраля 2024 г. по 18 февраля 2024 г. - в размере 30,40%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</w:t>
      </w:r>
      <w:bookmarkStart w:id="0" w:name="_GoBack"/>
      <w:bookmarkEnd w:id="0"/>
      <w:r w:rsidRPr="00E6782E">
        <w:rPr>
          <w:rFonts w:ascii="Times New Roman" w:hAnsi="Times New Roman" w:cs="Times New Roman"/>
          <w:sz w:val="24"/>
          <w:szCs w:val="24"/>
        </w:rPr>
        <w:t>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74DE412" w14:textId="739DADFC" w:rsidR="004C290E" w:rsidRDefault="004C290E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C290E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5747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C290E">
        <w:rPr>
          <w:rFonts w:ascii="Times New Roman" w:hAnsi="Times New Roman" w:cs="Times New Roman"/>
          <w:color w:val="000000"/>
          <w:sz w:val="24"/>
          <w:szCs w:val="24"/>
        </w:rPr>
        <w:t xml:space="preserve">:00 по адресу: г. Москва, Павелецкая наб., д. 8, тел. 8-800-505-80-32; у ОТ: тел. 8(499)395-00-20 (с 9.00 до 18.00 по Московскому времени в рабочие дни) informmsk@auction-house.ru. Покупатель несет все </w:t>
      </w:r>
      <w:r w:rsidRPr="004C2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риски отказа от предоставленного ему права ознакомления с имуществом до принятия участия в торгах. </w:t>
      </w:r>
    </w:p>
    <w:p w14:paraId="56B881ED" w14:textId="22333393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032889DF" w:rsidR="0003404B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4C290E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21F19"/>
    <w:rsid w:val="00B749D3"/>
    <w:rsid w:val="00B97A00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3040D"/>
    <w:rsid w:val="00E41D4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1651</Words>
  <Characters>10342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81</cp:revision>
  <dcterms:created xsi:type="dcterms:W3CDTF">2019-07-23T07:53:00Z</dcterms:created>
  <dcterms:modified xsi:type="dcterms:W3CDTF">2023-11-24T13:39:00Z</dcterms:modified>
</cp:coreProperties>
</file>