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Исхакова Назиля Хайдаргалиевна (11.03.1982г.р., место рожд: д. Кульчурово Баймакского района Респ Башкортостан , адрес рег: 453701, Башкортостан Респ, Учалинский р-н, Учалы г, 65 лет Победы ул, дом № 3А, квартира 34, СНИЛС09592020480, ИНН 025403736998, паспорт РФ серия 8005, номер 301033, выдан 13.07.2004, кем выдан ОВД Г. УЧАЛЫ И УЧАЛИНСКОГО Р-НА РЕСП. БАШКОРТОСТАН, код подразделения 022-021),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Республики Башкортостан от 17.01.2023г. по делу №А07-31484/2022,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19.10.2023г. по продаже имущества Исхаковой Назили Хайдаргалиевны,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Гараж, площадь: 24м², кадастровый номер: 02:67:010604:2935, земельный участок , кадастровый номер: 02:67:010604:1160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19.10.2023г. на сайте https://lot-online.ru/, и указана в Протоколе  от 19.10.2023г.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Шелестов Дмитрий Юрьевич (ИНН 745215858804)</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Исхакова Назиля Хайдаргалиевна (11.03.1982г.р., место рожд: д. Кульчурово Баймакского района Респ Башкортостан , адрес рег: 453701, Башкортостан Респ, Учалинский р-н, Учалы г, 65 лет Победы ул, дом № 3А, квартира 34, СНИЛС09592020480, ИНН 025403736998, паспорт РФ серия 8005, номер 301033, выдан 13.07.2004, кем выдан ОВД Г. УЧАЛЫ И УЧАЛИНСКОГО Р-НА РЕСП. БАШКОРТОСТАН, код подразделения 022-021)</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Шелестов Дмитрий Юрьевич (ИНН 745215858804)</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Исхаковой Назили Хайдаргалиевны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Шелестов Дмитрий Юрьевич</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