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3E17DF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bookmarkStart w:id="0" w:name="_GoBack"/>
      <w:bookmarkEnd w:id="0"/>
      <w:r w:rsidR="003E17DF">
        <w:rPr>
          <w:rFonts w:ascii="Times New Roman" w:eastAsia="Times New Roman" w:hAnsi="Times New Roman" w:cs="Times New Roman"/>
          <w:b/>
          <w:bCs/>
          <w:lang w:eastAsia="ru-RU"/>
        </w:rPr>
        <w:t>.12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</w:t>
            </w:r>
            <w:r w:rsidRPr="00C63665">
              <w:rPr>
                <w:rFonts w:ascii="Times New Roman" w:eastAsia="Calibri" w:hAnsi="Times New Roman" w:cs="Times New Roman"/>
                <w:b/>
              </w:rPr>
              <w:t>VIN Z783009D9L0062199</w:t>
            </w:r>
            <w:r w:rsidRPr="00C63665">
              <w:rPr>
                <w:rFonts w:ascii="Times New Roman" w:eastAsia="Calibri" w:hAnsi="Times New Roman" w:cs="Times New Roman"/>
              </w:rPr>
              <w:t xml:space="preserve">, </w:t>
            </w:r>
            <w:r w:rsidRPr="00C63665">
              <w:rPr>
                <w:rFonts w:ascii="Times New Roman" w:eastAsia="Calibri" w:hAnsi="Times New Roman" w:cs="Times New Roman"/>
                <w:b/>
              </w:rPr>
              <w:t xml:space="preserve">г/н А 873 СА 124, </w:t>
            </w:r>
            <w:r w:rsidRPr="00C63665">
              <w:rPr>
                <w:rFonts w:ascii="Times New Roman" w:eastAsia="Calibri" w:hAnsi="Times New Roman" w:cs="Times New Roman"/>
              </w:rPr>
              <w:t xml:space="preserve">ГОД ВЫПУСКА 2020, ЦВЕТ БЕЛЫЙ, </w:t>
            </w:r>
            <w:r w:rsidRPr="00C63665">
              <w:rPr>
                <w:rFonts w:ascii="Times New Roman" w:eastAsia="Calibri" w:hAnsi="Times New Roman" w:cs="Times New Roman"/>
                <w:b/>
              </w:rPr>
              <w:t>пробег 197 082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и </w:t>
            </w:r>
            <w:proofErr w:type="spellStart"/>
            <w:r w:rsidRPr="00C63665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63665">
              <w:rPr>
                <w:rFonts w:ascii="Times New Roman" w:eastAsia="Calibri" w:hAnsi="Times New Roman" w:cs="Times New Roman"/>
              </w:rPr>
              <w:t xml:space="preserve">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3E17DF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772 2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C63665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C63665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3E17DF">
        <w:rPr>
          <w:rFonts w:ascii="Times New Roman" w:eastAsia="Calibri" w:hAnsi="Times New Roman" w:cs="Times New Roman"/>
          <w:b/>
          <w:bCs/>
        </w:rPr>
        <w:t>115 830</w:t>
      </w:r>
      <w:r w:rsidR="00C63665" w:rsidRPr="00C63665">
        <w:rPr>
          <w:rFonts w:ascii="Times New Roman" w:eastAsia="Calibri" w:hAnsi="Times New Roman" w:cs="Times New Roman"/>
          <w:b/>
          <w:bCs/>
        </w:rPr>
        <w:t xml:space="preserve"> 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</w:t>
      </w:r>
      <w:proofErr w:type="spellStart"/>
      <w:r w:rsidRPr="00C63665">
        <w:rPr>
          <w:rFonts w:ascii="Times New Roman" w:hAnsi="Times New Roman" w:cs="Times New Roman"/>
          <w:b/>
        </w:rPr>
        <w:t>УБРиР</w:t>
      </w:r>
      <w:proofErr w:type="spellEnd"/>
      <w:r w:rsidRPr="00C63665">
        <w:rPr>
          <w:rFonts w:ascii="Times New Roman" w:hAnsi="Times New Roman" w:cs="Times New Roman"/>
          <w:b/>
        </w:rPr>
        <w:t>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</w:t>
            </w:r>
            <w:proofErr w:type="spellStart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УБРиР</w:t>
            </w:r>
            <w:proofErr w:type="spellEnd"/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3A45EA"/>
    <w:rsid w:val="003C2A15"/>
    <w:rsid w:val="003E17DF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36C7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24</cp:revision>
  <cp:lastPrinted>2023-10-19T06:20:00Z</cp:lastPrinted>
  <dcterms:created xsi:type="dcterms:W3CDTF">2020-10-14T09:43:00Z</dcterms:created>
  <dcterms:modified xsi:type="dcterms:W3CDTF">2023-11-30T09:29:00Z</dcterms:modified>
</cp:coreProperties>
</file>