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D69B0AD" w:rsidR="00E41D4C" w:rsidRPr="00E6782E" w:rsidRDefault="000230E7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 (далее - Организатор торгов,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70BFEF5E" w14:textId="6B13D06C" w:rsidR="00655998" w:rsidRPr="00E71594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610BD6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E71594" w:rsidRPr="00E71594"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5D0D5232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Азари</w:t>
      </w:r>
      <w:proofErr w:type="spellEnd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ИНН 3705061745, солидарно с Джафаровым </w:t>
      </w:r>
      <w:proofErr w:type="spellStart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Тахиром</w:t>
      </w:r>
      <w:proofErr w:type="spellEnd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 </w:t>
      </w:r>
      <w:proofErr w:type="spellStart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112-1 от 16.12.2010, определение </w:t>
      </w:r>
      <w:proofErr w:type="spellStart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Фурмановского</w:t>
      </w:r>
      <w:proofErr w:type="spellEnd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Ивановской области от 30.12.2014 по делу 2-1125/2014 о прекращении производства по делу в связи с заключением мирового соглашения, решение </w:t>
      </w:r>
      <w:proofErr w:type="spellStart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Фурмановского</w:t>
      </w:r>
      <w:proofErr w:type="spellEnd"/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Ивановской области от 27.12.2021 по делу 2-556/2021 (36 915 845,09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487415" w:rsidRPr="00A21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951</w:t>
      </w:r>
      <w:r w:rsidR="00487415" w:rsidRPr="00A21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415" w:rsidRPr="00487415">
        <w:rPr>
          <w:rFonts w:ascii="Times New Roman" w:eastAsia="Times New Roman" w:hAnsi="Times New Roman" w:cs="Times New Roman"/>
          <w:color w:val="000000"/>
          <w:sz w:val="24"/>
          <w:szCs w:val="24"/>
        </w:rPr>
        <w:t>440,54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0763929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747E9" w:rsidRP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230E7" w:rsidRPr="00023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D46655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230E7" w:rsidRPr="0002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FD5BE3" w14:textId="77777777" w:rsidR="00A211BF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12 декабря 2023 г. по 26 января 2024 г. - в размере начальной цены продажи лота;</w:t>
      </w:r>
    </w:p>
    <w:p w14:paraId="38BB0F52" w14:textId="77777777" w:rsidR="00A211BF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27 января 2024 г. по 29 января 2024 г. - в размере 94,04% от начальной цены продажи лота;</w:t>
      </w:r>
    </w:p>
    <w:p w14:paraId="7B47A04A" w14:textId="77777777" w:rsidR="00A211BF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30 января 2024 г. по 01 февраля 2024 г. - в размере 88,08% от начальной цены продажи лота;</w:t>
      </w:r>
      <w:bookmarkStart w:id="0" w:name="_GoBack"/>
      <w:bookmarkEnd w:id="0"/>
    </w:p>
    <w:p w14:paraId="05DD3F7B" w14:textId="77777777" w:rsidR="00A211BF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02 февраля 2024 г. по 04 февраля 2024 г. - в размере 82,12% от начальной цены продажи лота;</w:t>
      </w:r>
    </w:p>
    <w:p w14:paraId="13D90A42" w14:textId="77777777" w:rsidR="00A211BF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05 февраля 2024 г. по 07 февраля 2024 г. - в размере 76,16% от начальной цены продажи лота;</w:t>
      </w:r>
    </w:p>
    <w:p w14:paraId="1C6686C0" w14:textId="79EE3942" w:rsidR="000230E7" w:rsidRPr="00A211BF" w:rsidRDefault="00A211BF" w:rsidP="00A21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BF">
        <w:rPr>
          <w:rFonts w:ascii="Times New Roman" w:hAnsi="Times New Roman" w:cs="Times New Roman"/>
          <w:color w:val="000000"/>
          <w:sz w:val="24"/>
          <w:szCs w:val="24"/>
        </w:rPr>
        <w:t>с 08 февраля 2024 г. по 10 февраля 2024 г. - в размере 70,20%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74DE412" w14:textId="739DADFC" w:rsidR="004C290E" w:rsidRDefault="004C290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 </w:t>
      </w:r>
    </w:p>
    <w:p w14:paraId="56B881ED" w14:textId="22333393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32889DF" w:rsidR="0003404B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1546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84</cp:revision>
  <dcterms:created xsi:type="dcterms:W3CDTF">2019-07-23T07:53:00Z</dcterms:created>
  <dcterms:modified xsi:type="dcterms:W3CDTF">2023-12-01T06:18:00Z</dcterms:modified>
</cp:coreProperties>
</file>