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</w:rPr>
        <w:t xml:space="preserve">ДОГОВОР О ЗАДАТКЕ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 Симферополь</w:t>
        <w:tab/>
        <w:tab/>
        <w:tab/>
        <w:tab/>
        <w:tab/>
        <w:tab/>
        <w:tab/>
        <w:tab/>
        <w:t>«</w:t>
      </w:r>
      <w:r>
        <w:rPr>
          <w:rFonts w:ascii="Times New Roman" w:hAnsi="Times New Roman"/>
        </w:rPr>
        <w:t>29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дека</w:t>
      </w:r>
      <w:r>
        <w:rPr>
          <w:rFonts w:ascii="Times New Roman" w:hAnsi="Times New Roman"/>
        </w:rPr>
        <w:t xml:space="preserve">бря 202З года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ООО «Тандем-Алания» в лице директора Сытника Сергея Александровича, действующий на основании Устава, именуемый в дальнейшем </w:t>
      </w:r>
      <w:r>
        <w:rPr>
          <w:rFonts w:ascii="Times New Roman" w:hAnsi="Times New Roman"/>
          <w:b/>
          <w:bCs/>
        </w:rPr>
        <w:t>«Организатор торгов»</w:t>
      </w:r>
      <w:r>
        <w:rPr>
          <w:rFonts w:ascii="Times New Roman" w:hAnsi="Times New Roman"/>
        </w:rPr>
        <w:t xml:space="preserve">, с одной стороны, и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участник аукциона </w:t>
      </w:r>
      <w:r>
        <w:rPr>
          <w:rFonts w:ascii="Times New Roman" w:hAnsi="Times New Roman"/>
          <w:b/>
          <w:bCs/>
          <w:u w:val="single"/>
        </w:rPr>
        <w:t xml:space="preserve">№ </w:t>
      </w:r>
      <w:r>
        <w:rPr>
          <w:rFonts w:ascii="Times New Roman" w:hAnsi="Times New Roman"/>
          <w:b/>
          <w:bCs/>
          <w:u w:val="single"/>
        </w:rPr>
        <w:t>5</w:t>
      </w:r>
      <w:r>
        <w:rPr>
          <w:rFonts w:ascii="Times New Roman" w:hAnsi="Times New Roman"/>
          <w:b/>
          <w:bCs/>
          <w:u w:val="single"/>
        </w:rPr>
        <w:t>-2023</w:t>
      </w:r>
      <w:r>
        <w:rPr>
          <w:rFonts w:ascii="Times New Roman" w:hAnsi="Times New Roman"/>
        </w:rPr>
        <w:t xml:space="preserve"> по Лоту №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, именуемый в дальнейшем </w:t>
      </w:r>
      <w:r>
        <w:rPr>
          <w:rFonts w:ascii="Times New Roman" w:hAnsi="Times New Roman"/>
          <w:b/>
          <w:bCs/>
        </w:rPr>
        <w:t>«Заявитель»</w:t>
      </w:r>
      <w:r>
        <w:rPr>
          <w:rFonts w:ascii="Times New Roman" w:hAnsi="Times New Roman"/>
        </w:rPr>
        <w:t>, с другой стороны заключили настоящий Договор о нижеследующем: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1.</w:t>
        <w:tab/>
        <w:t>Предмет договора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1.1.</w:t>
        <w:tab/>
        <w:t xml:space="preserve">В соответствии с условиями настоящего Договора Заявитель для участия в торгах (аукцион №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-2023) по продаже движимого имущества, находящегося на праве </w:t>
      </w:r>
      <w:r>
        <w:rPr>
          <w:rFonts w:ascii="Times New Roman" w:hAnsi="Times New Roman"/>
        </w:rPr>
        <w:t>собственности ООО «Фирма «Тандем»</w:t>
      </w:r>
      <w:r>
        <w:rPr>
          <w:rFonts w:ascii="Times New Roman" w:hAnsi="Times New Roman"/>
        </w:rPr>
        <w:t xml:space="preserve">, по </w:t>
      </w:r>
      <w:r>
        <w:rPr>
          <w:rFonts w:ascii="Times New Roman" w:hAnsi="Times New Roman"/>
          <w:b/>
          <w:bCs/>
        </w:rPr>
        <w:t xml:space="preserve">Лоту № </w:t>
      </w:r>
      <w:r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</w:rPr>
        <w:t xml:space="preserve"> (далее по тексту - Предмет торгов), проводимых </w:t>
      </w:r>
      <w:r>
        <w:rPr>
          <w:rFonts w:ascii="Times New Roman" w:hAnsi="Times New Roman"/>
        </w:rPr>
        <w:t>02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февраля</w:t>
      </w:r>
      <w:r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 нa электронной торговой площадке АО «Российский аукционный дом», размещенной на сайте </w:t>
      </w:r>
      <w:r>
        <w:rPr>
          <w:rFonts w:ascii="Times New Roman" w:hAnsi="Times New Roman"/>
          <w:b/>
          <w:bCs/>
          <w:color w:val="000000"/>
          <w:shd w:fill="auto" w:val="clear"/>
        </w:rPr>
        <w:t>https://auction-house.ru/</w:t>
      </w:r>
      <w:r>
        <w:rPr>
          <w:rFonts w:ascii="Times New Roman" w:hAnsi="Times New Roman"/>
        </w:rPr>
        <w:t xml:space="preserve"> в сети Интернет, перечисляет задаток в размере 50 % начальной стоимости Лота, которая составляет сумму </w:t>
      </w:r>
      <w:r>
        <w:rPr>
          <w:rFonts w:ascii="Times New Roman" w:hAnsi="Times New Roman"/>
          <w:b/>
          <w:bCs/>
        </w:rPr>
        <w:t>700 000 (семьсот тысяч)</w:t>
      </w:r>
      <w:r>
        <w:rPr>
          <w:rFonts w:ascii="Times New Roman" w:hAnsi="Times New Roman"/>
          <w:b/>
          <w:bCs/>
        </w:rPr>
        <w:t xml:space="preserve"> руб. </w:t>
      </w:r>
      <w:r>
        <w:rPr>
          <w:rFonts w:ascii="Times New Roman" w:hAnsi="Times New Roman"/>
        </w:rPr>
        <w:t>в порядке, установленном настоящим Договором.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1.2.</w:t>
        <w:tab/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купли-продажи,заключенного по результатам торгов.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1.3.</w:t>
        <w:tab/>
        <w:t>В случае признания Заявителя победителем торгов задаток Заявителю пе возвращается и засчитывается в счет оплаты приобретенного на торгах имущества.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1.4.</w:t>
        <w:tab/>
        <w:t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пo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1.5.</w:t>
        <w:tab/>
        <w:t xml:space="preserve">Во всех остальных случаях задаток возвращается Заявителю в течение 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десяти</w:t>
      </w:r>
      <w:r>
        <w:rPr>
          <w:rFonts w:ascii="Times New Roman" w:hAnsi="Times New Roman"/>
        </w:rPr>
        <w:t>) рабочих дней со дня подписания протокола о результатах проведения торгов.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</w:rPr>
        <w:t>2.</w:t>
        <w:tab/>
        <w:t>Порядок внесения задатка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2.1.</w:t>
        <w:tab/>
        <w:t xml:space="preserve">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>
        <w:rPr>
          <w:rFonts w:ascii="Times New Roman" w:hAnsi="Times New Roman"/>
        </w:rPr>
        <w:t>31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1.202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В назначении платежа необходимо указать: «задаток для участия в аукционе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-2023 по лоту №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»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2.2.</w:t>
        <w:tab/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</w:t>
        <w:tab/>
        <w:t>В случае не перечисления либо перечисления не в полном объеме суммы задатка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</w:rPr>
        <w:t>3.</w:t>
        <w:tab/>
        <w:t>Заключительные положения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3.1.</w:t>
        <w:tab/>
        <w:t>Споры и разногласия, возникающие из настоящего договора или в связи с ним, будут решаться сторонами путем переговоров. При недостижении согласия, споры и разногласия подлежат рассмотрению Арбитражным судом Республики Крым.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3.2. Во всем ином, не предусмотренном настоящим Договором, Стороны руководствуются действующим законодательством Российской Федерации,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4.</w:t>
        <w:tab/>
        <w:t>Реквизиты сторон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720" w:type="dxa"/>
        <w:jc w:val="center"/>
        <w:tblInd w:w="0" w:type="dxa"/>
        <w:tblLayout w:type="fixed"/>
        <w:tblCellMar>
          <w:top w:w="0" w:type="dxa"/>
          <w:start w:w="10" w:type="dxa"/>
          <w:bottom w:w="0" w:type="dxa"/>
          <w:end w:w="10" w:type="dxa"/>
        </w:tblCellMar>
        <w:tblLook w:firstRow="0" w:noVBand="0" w:lastRow="0" w:firstColumn="0" w:lastColumn="0" w:noHBand="0" w:val="0000"/>
      </w:tblPr>
      <w:tblGrid>
        <w:gridCol w:w="4351"/>
        <w:gridCol w:w="5368"/>
      </w:tblGrid>
      <w:tr>
        <w:trPr>
          <w:trHeight w:val="557" w:hRule="exact"/>
        </w:trPr>
        <w:tc>
          <w:tcPr>
            <w:tcW w:w="4351" w:type="dxa"/>
            <w:tcBorders/>
            <w:shd w:color="auto" w:fill="auto" w:val="clear"/>
          </w:tcPr>
          <w:p>
            <w:pPr>
              <w:pStyle w:val="Style20"/>
              <w:widowControl w:val="false"/>
              <w:bidi w:val="0"/>
              <w:spacing w:lineRule="auto" w:line="240"/>
              <w:ind w:hanging="0"/>
              <w:jc w:val="start"/>
              <w:rPr/>
            </w:pPr>
            <w:r>
              <w:rPr>
                <w:b/>
                <w:bCs/>
              </w:rPr>
              <w:t>ОРГАНИЗАТОР ТОРГОВ</w:t>
            </w:r>
          </w:p>
        </w:tc>
        <w:tc>
          <w:tcPr>
            <w:tcW w:w="5368" w:type="dxa"/>
            <w:tcBorders/>
            <w:shd w:color="auto" w:fill="auto" w:val="clear"/>
          </w:tcPr>
          <w:p>
            <w:pPr>
              <w:pStyle w:val="Style20"/>
              <w:widowControl w:val="false"/>
              <w:bidi w:val="0"/>
              <w:spacing w:lineRule="auto" w:line="240"/>
              <w:ind w:hanging="0"/>
              <w:jc w:val="start"/>
              <w:rPr/>
            </w:pPr>
            <w:r>
              <w:rPr>
                <w:b/>
                <w:bCs/>
              </w:rPr>
              <w:t xml:space="preserve">ЗАЯВИТЕЛЬ </w:t>
            </w:r>
          </w:p>
        </w:tc>
      </w:tr>
      <w:tr>
        <w:trPr/>
        <w:tc>
          <w:tcPr>
            <w:tcW w:w="4351" w:type="dxa"/>
            <w:tcBorders/>
            <w:shd w:color="auto" w:fill="auto" w:val="clear"/>
          </w:tcPr>
          <w:p>
            <w:pPr>
              <w:pStyle w:val="Style20"/>
              <w:widowControl w:val="false"/>
              <w:bidi w:val="0"/>
              <w:spacing w:lineRule="auto" w:line="240"/>
              <w:ind w:hanging="0"/>
              <w:jc w:val="start"/>
              <w:rPr/>
            </w:pPr>
            <w:r>
              <w:rPr>
                <w:b/>
                <w:bCs/>
              </w:rPr>
              <w:t>ООО «Тандем-Алания»</w:t>
            </w:r>
          </w:p>
          <w:p>
            <w:pPr>
              <w:pStyle w:val="Style20"/>
              <w:widowControl w:val="false"/>
              <w:bidi w:val="0"/>
              <w:spacing w:lineRule="auto" w:line="240"/>
              <w:ind w:hanging="0"/>
              <w:jc w:val="start"/>
              <w:rPr/>
            </w:pPr>
            <w:r>
              <w:rPr/>
              <w:t xml:space="preserve">362003, Республика Северная Осетия – Алания, г. Владикавказ, ул. Карла Маркса, дом № 83, оф. 2, </w:t>
            </w:r>
          </w:p>
          <w:p>
            <w:pPr>
              <w:pStyle w:val="Style20"/>
              <w:widowControl w:val="false"/>
              <w:bidi w:val="0"/>
              <w:spacing w:lineRule="auto" w:line="240"/>
              <w:ind w:hanging="0"/>
              <w:jc w:val="start"/>
              <w:rPr/>
            </w:pPr>
            <w:r>
              <w:rPr/>
              <w:t>Тел +7 978 816 54 53</w:t>
            </w:r>
          </w:p>
          <w:p>
            <w:pPr>
              <w:pStyle w:val="Style20"/>
              <w:widowControl w:val="false"/>
              <w:bidi w:val="0"/>
              <w:spacing w:lineRule="auto" w:line="240"/>
              <w:ind w:hanging="0"/>
              <w:jc w:val="start"/>
              <w:rPr/>
            </w:pPr>
            <w:r>
              <w:rPr/>
            </w:r>
          </w:p>
          <w:p>
            <w:pPr>
              <w:pStyle w:val="Style20"/>
              <w:widowControl w:val="false"/>
              <w:bidi w:val="0"/>
              <w:spacing w:lineRule="auto" w:line="240"/>
              <w:ind w:hanging="0"/>
              <w:jc w:val="start"/>
              <w:rPr/>
            </w:pPr>
            <w:r>
              <w:rPr/>
              <w:t xml:space="preserve">Почтовый адрес: </w:t>
            </w:r>
          </w:p>
          <w:p>
            <w:pPr>
              <w:pStyle w:val="Style20"/>
              <w:widowControl w:val="false"/>
              <w:bidi w:val="0"/>
              <w:spacing w:lineRule="auto" w:line="240"/>
              <w:ind w:hanging="0"/>
              <w:jc w:val="start"/>
              <w:rPr/>
            </w:pPr>
            <w:r>
              <w:rPr/>
              <w:t>362003, РСО-Алания, г. Владикавказ, а/я 1021</w:t>
            </w:r>
          </w:p>
          <w:p>
            <w:pPr>
              <w:pStyle w:val="Style20"/>
              <w:widowControl w:val="false"/>
              <w:bidi w:val="0"/>
              <w:spacing w:lineRule="auto" w:line="240"/>
              <w:ind w:hanging="0"/>
              <w:jc w:val="start"/>
              <w:rPr/>
            </w:pPr>
            <w:r>
              <w:rPr/>
            </w:r>
          </w:p>
          <w:p>
            <w:pPr>
              <w:pStyle w:val="Style20"/>
              <w:widowControl w:val="false"/>
              <w:bidi w:val="0"/>
              <w:spacing w:lineRule="auto" w:line="240"/>
              <w:ind w:hanging="0"/>
              <w:jc w:val="start"/>
              <w:rPr/>
            </w:pPr>
            <w:hyperlink r:id="rId2">
              <w:r>
                <w:rPr/>
                <w:t>tandemalaniya@mail.ru</w:t>
              </w:r>
            </w:hyperlink>
            <w:r>
              <w:rPr/>
              <w:t xml:space="preserve"> </w:t>
            </w:r>
          </w:p>
          <w:p>
            <w:pPr>
              <w:pStyle w:val="Style20"/>
              <w:widowControl w:val="false"/>
              <w:bidi w:val="0"/>
              <w:spacing w:lineRule="auto" w:line="240"/>
              <w:ind w:hanging="0"/>
              <w:jc w:val="start"/>
              <w:rPr/>
            </w:pPr>
            <w:r>
              <w:rPr/>
              <w:t>ОГРН 1221500006210</w:t>
            </w:r>
          </w:p>
          <w:p>
            <w:pPr>
              <w:pStyle w:val="Style20"/>
              <w:widowControl w:val="false"/>
              <w:bidi w:val="0"/>
              <w:spacing w:lineRule="auto" w:line="240"/>
              <w:ind w:hanging="0"/>
              <w:jc w:val="start"/>
              <w:rPr/>
            </w:pPr>
            <w:r>
              <w:rPr/>
              <w:t>ИНН 1500007359</w:t>
            </w:r>
          </w:p>
          <w:p>
            <w:pPr>
              <w:pStyle w:val="Style20"/>
              <w:widowControl w:val="false"/>
              <w:bidi w:val="0"/>
              <w:spacing w:lineRule="auto" w:line="240"/>
              <w:ind w:hanging="0"/>
              <w:jc w:val="start"/>
              <w:rPr/>
            </w:pPr>
            <w:r>
              <w:rPr/>
              <w:t>КПП 150001001</w:t>
            </w:r>
          </w:p>
          <w:p>
            <w:pPr>
              <w:pStyle w:val="Style20"/>
              <w:widowControl w:val="false"/>
              <w:bidi w:val="0"/>
              <w:spacing w:lineRule="auto" w:line="240"/>
              <w:ind w:hanging="0"/>
              <w:jc w:val="start"/>
              <w:rPr/>
            </w:pPr>
            <w:r>
              <w:rPr/>
            </w:r>
          </w:p>
          <w:p>
            <w:pPr>
              <w:pStyle w:val="Style20"/>
              <w:widowControl w:val="false"/>
              <w:bidi w:val="0"/>
              <w:spacing w:lineRule="auto" w:line="240"/>
              <w:ind w:hanging="0"/>
              <w:jc w:val="start"/>
              <w:rPr/>
            </w:pPr>
            <w:r>
              <w:rPr/>
            </w:r>
          </w:p>
          <w:p>
            <w:pPr>
              <w:pStyle w:val="Style20"/>
              <w:widowControl w:val="false"/>
              <w:bidi w:val="0"/>
              <w:spacing w:lineRule="auto" w:line="240"/>
              <w:ind w:hanging="0"/>
              <w:jc w:val="start"/>
              <w:rPr/>
            </w:pPr>
            <w:r>
              <w:rPr/>
            </w:r>
          </w:p>
          <w:p>
            <w:pPr>
              <w:pStyle w:val="Style20"/>
              <w:widowControl w:val="false"/>
              <w:bidi w:val="0"/>
              <w:spacing w:lineRule="auto" w:line="240"/>
              <w:ind w:hanging="0"/>
              <w:jc w:val="start"/>
              <w:rPr/>
            </w:pPr>
            <w:r>
              <w:rPr/>
            </w:r>
          </w:p>
        </w:tc>
        <w:tc>
          <w:tcPr>
            <w:tcW w:w="5368" w:type="dxa"/>
            <w:tcBorders/>
            <w:shd w:color="auto" w:fill="auto" w:val="clear"/>
          </w:tcPr>
          <w:p>
            <w:pPr>
              <w:pStyle w:val="1"/>
              <w:widowControl w:val="false"/>
              <w:bidi w:val="0"/>
              <w:spacing w:lineRule="auto" w:line="240"/>
              <w:ind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20"/>
              <w:widowControl w:val="false"/>
              <w:bidi w:val="0"/>
              <w:spacing w:lineRule="auto" w:line="240"/>
              <w:ind w:hanging="0"/>
              <w:jc w:val="star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  <w:t>Директор</w:t>
      </w:r>
    </w:p>
    <w:p>
      <w:pPr>
        <w:pStyle w:val="Normal"/>
        <w:bidi w:val="0"/>
        <w:jc w:val="start"/>
        <w:rPr/>
      </w:pPr>
      <w:r>
        <w:rPr>
          <w:b/>
          <w:bCs/>
        </w:rPr>
        <w:t>____________________ С.А. Сытник</w:t>
      </w:r>
      <w:r>
        <w:rPr/>
        <w:tab/>
      </w:r>
    </w:p>
    <w:sectPr>
      <w:type w:val="nextPage"/>
      <w:pgSz w:w="11906" w:h="16838"/>
      <w:pgMar w:left="1134" w:right="1134" w:gutter="0" w:header="0" w:top="632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Другое"/>
    <w:basedOn w:val="Normal"/>
    <w:qFormat/>
    <w:pPr>
      <w:spacing w:lineRule="auto" w:line="259"/>
      <w:ind w:firstLine="400"/>
    </w:pPr>
    <w:rPr>
      <w:rFonts w:ascii="Times New Roman" w:hAnsi="Times New Roman" w:eastAsia="Times New Roman" w:cs="Times New Roman"/>
      <w:sz w:val="22"/>
      <w:szCs w:val="22"/>
    </w:rPr>
  </w:style>
  <w:style w:type="paragraph" w:styleId="1">
    <w:name w:val="Основной текст1"/>
    <w:basedOn w:val="Normal"/>
    <w:qFormat/>
    <w:pPr>
      <w:spacing w:lineRule="auto" w:line="259"/>
      <w:ind w:firstLine="400"/>
    </w:pPr>
    <w:rPr>
      <w:rFonts w:ascii="Times New Roman" w:hAnsi="Times New Roman" w:eastAsia="Times New Roman" w:cs="Times New Roman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andemalaniya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LibreOffice/7.3.3.2$Windows_X86_64 LibreOffice_project/d1d0ea68f081ee2800a922cac8f79445e4603348</Application>
  <AppVersion>15.0000</AppVersion>
  <Pages>2</Pages>
  <Words>483</Words>
  <Characters>3174</Characters>
  <CharactersWithSpaces>3653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2023-12-27T17:59:29Z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