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074A312B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834F25">
        <w:rPr>
          <w:b/>
          <w:color w:val="0070C0"/>
        </w:rPr>
        <w:t>14 марта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</w:t>
      </w:r>
      <w:r w:rsidR="00834F25">
        <w:rPr>
          <w:b/>
          <w:color w:val="0070C0"/>
        </w:rPr>
        <w:t>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781C8DB9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834F25">
        <w:rPr>
          <w:b/>
          <w:bCs/>
          <w:color w:val="0070C0"/>
        </w:rPr>
        <w:t>25 января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834F25">
        <w:rPr>
          <w:b/>
          <w:bCs/>
          <w:color w:val="0070C0"/>
        </w:rPr>
        <w:t>11 марта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F561E4">
        <w:rPr>
          <w:b/>
          <w:bCs/>
          <w:color w:val="0070C0"/>
        </w:rPr>
        <w:t>1</w:t>
      </w:r>
      <w:r w:rsidR="00834F25">
        <w:rPr>
          <w:b/>
          <w:bCs/>
          <w:color w:val="0070C0"/>
        </w:rPr>
        <w:t>0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6EBF8E1E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561E4">
        <w:rPr>
          <w:b/>
          <w:color w:val="0070C0"/>
        </w:rPr>
        <w:t>1</w:t>
      </w:r>
      <w:r w:rsidR="00834F25">
        <w:rPr>
          <w:b/>
          <w:color w:val="0070C0"/>
        </w:rPr>
        <w:t>0</w:t>
      </w:r>
      <w:r w:rsidRPr="00996E61">
        <w:rPr>
          <w:b/>
          <w:color w:val="0070C0"/>
        </w:rPr>
        <w:t xml:space="preserve">:00 </w:t>
      </w:r>
      <w:r w:rsidR="00834F25" w:rsidRPr="00834F25">
        <w:rPr>
          <w:b/>
          <w:bCs/>
          <w:color w:val="0070C0"/>
        </w:rPr>
        <w:t xml:space="preserve">11 марта 2024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47FE35BA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834F25">
        <w:rPr>
          <w:b/>
          <w:color w:val="0070C0"/>
        </w:rPr>
        <w:t>13 марта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6605891" w14:textId="6C39C897" w:rsidR="001E48C2" w:rsidRDefault="00AD31B7" w:rsidP="001E48C2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DE7CB9">
        <w:t>Ознакомление с предметом торгов осуществляется в рабочие дни по предварительной записи по тел.</w:t>
      </w:r>
      <w:r w:rsidR="008930C5">
        <w:t xml:space="preserve"> </w:t>
      </w:r>
      <w:r w:rsidR="00F01DB7" w:rsidRPr="00F01DB7">
        <w:t xml:space="preserve">8(992)310-07-10 (мск+2 часа) </w:t>
      </w:r>
      <w:proofErr w:type="spellStart"/>
      <w:r w:rsidR="00F01DB7" w:rsidRPr="00F01DB7">
        <w:t>Корник</w:t>
      </w:r>
      <w:proofErr w:type="spellEnd"/>
      <w:r w:rsidR="00F01DB7" w:rsidRPr="00F01DB7">
        <w:t xml:space="preserve"> Анна</w:t>
      </w:r>
      <w:r w:rsidR="00F01DB7">
        <w:t xml:space="preserve">. </w:t>
      </w:r>
      <w:r w:rsidRPr="00DE7CB9">
        <w:t>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8930C5" w:rsidRPr="00D3456B">
          <w:rPr>
            <w:rStyle w:val="af2"/>
          </w:rPr>
          <w:t>ekb@auction-house.ru</w:t>
        </w:r>
      </w:hyperlink>
      <w:r w:rsidR="00E904D2" w:rsidRPr="00E904D2">
        <w:rPr>
          <w:rStyle w:val="af2"/>
          <w:color w:val="auto"/>
          <w:u w:val="none"/>
        </w:rPr>
        <w:t xml:space="preserve">. </w:t>
      </w:r>
      <w:r w:rsidR="00E904D2">
        <w:rPr>
          <w:rStyle w:val="af2"/>
          <w:color w:val="auto"/>
          <w:u w:val="none"/>
        </w:rPr>
        <w:t xml:space="preserve">Контакт по осмотру </w:t>
      </w:r>
      <w:r w:rsidR="00E904D2" w:rsidRPr="00E904D2">
        <w:rPr>
          <w:rStyle w:val="af2"/>
          <w:color w:val="auto"/>
          <w:u w:val="none"/>
        </w:rPr>
        <w:t>Александр Сергеевич- т.</w:t>
      </w:r>
      <w:r w:rsidR="00E904D2">
        <w:rPr>
          <w:rStyle w:val="af2"/>
          <w:color w:val="auto"/>
          <w:u w:val="none"/>
        </w:rPr>
        <w:t>8</w:t>
      </w:r>
      <w:r w:rsidR="00E904D2" w:rsidRPr="00E904D2">
        <w:rPr>
          <w:rStyle w:val="af2"/>
          <w:color w:val="auto"/>
          <w:u w:val="none"/>
        </w:rPr>
        <w:t xml:space="preserve"> (343)-372-87-40 (вн.7797)</w:t>
      </w:r>
      <w:r w:rsidR="00E904D2">
        <w:rPr>
          <w:rStyle w:val="af2"/>
          <w:color w:val="auto"/>
          <w:u w:val="none"/>
        </w:rPr>
        <w:t>.</w:t>
      </w:r>
    </w:p>
    <w:bookmarkEnd w:id="1"/>
    <w:p w14:paraId="5B7D39DF" w14:textId="77777777" w:rsidR="00CD4F0F" w:rsidRPr="00772AC1" w:rsidRDefault="00CD4F0F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5490211E" w14:textId="2D5B9FD4" w:rsidR="00D300AD" w:rsidRPr="001E48C2" w:rsidRDefault="00D300AD" w:rsidP="00D300AD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="008930C5" w:rsidRPr="008930C5">
        <w:t>LADA GRANTA, 2020 г.</w:t>
      </w:r>
      <w:r w:rsidR="002656E7">
        <w:t xml:space="preserve"> </w:t>
      </w:r>
      <w:r w:rsidR="008930C5" w:rsidRPr="008930C5">
        <w:t>в., цвет</w:t>
      </w:r>
      <w:r w:rsidR="008930C5">
        <w:t xml:space="preserve"> кузова: серый</w:t>
      </w:r>
      <w:r w:rsidR="008930C5" w:rsidRPr="008930C5">
        <w:t>, г</w:t>
      </w:r>
      <w:r w:rsidR="008930C5">
        <w:t>ос</w:t>
      </w:r>
      <w:r w:rsidR="008930C5" w:rsidRPr="008930C5">
        <w:t>.</w:t>
      </w:r>
      <w:r w:rsidR="008930C5">
        <w:t xml:space="preserve"> </w:t>
      </w:r>
      <w:r w:rsidR="008930C5" w:rsidRPr="008930C5">
        <w:t>н</w:t>
      </w:r>
      <w:r w:rsidR="008930C5">
        <w:t>омер</w:t>
      </w:r>
      <w:r w:rsidR="009B022F">
        <w:t>:</w:t>
      </w:r>
      <w:r w:rsidR="008930C5" w:rsidRPr="008930C5">
        <w:t xml:space="preserve"> М741ТЕ196, VIN: XTA219210L0168127</w:t>
      </w:r>
      <w:r w:rsidR="007B77AD" w:rsidRPr="007B77AD">
        <w:t>,</w:t>
      </w:r>
      <w:r w:rsidR="008930C5">
        <w:t xml:space="preserve"> мощность двигателя: 87,0 л.с.</w:t>
      </w:r>
      <w:r w:rsidR="009B022F">
        <w:t xml:space="preserve">, объем двигателя: 1596 куб. см, </w:t>
      </w:r>
      <w:r w:rsidR="006D5F11">
        <w:t xml:space="preserve">пробег </w:t>
      </w:r>
      <w:r w:rsidR="008930C5">
        <w:t xml:space="preserve">неизвестен. Ключи, </w:t>
      </w:r>
      <w:r w:rsidR="006D5F11">
        <w:t>ПТС и СОР отсутствуют.</w:t>
      </w:r>
    </w:p>
    <w:p w14:paraId="38536F4A" w14:textId="77777777" w:rsidR="00D300AD" w:rsidRDefault="00D300AD" w:rsidP="00D300AD">
      <w:pPr>
        <w:ind w:right="-57" w:firstLine="540"/>
        <w:jc w:val="both"/>
        <w:rPr>
          <w:b/>
          <w:bCs/>
        </w:rPr>
      </w:pPr>
    </w:p>
    <w:p w14:paraId="73E1393B" w14:textId="184FF0B0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9B022F">
        <w:rPr>
          <w:b/>
          <w:color w:val="0070C0"/>
        </w:rPr>
        <w:t>697</w:t>
      </w:r>
      <w:r>
        <w:rPr>
          <w:b/>
          <w:color w:val="0070C0"/>
        </w:rPr>
        <w:t xml:space="preserve">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 w:rsidR="009B022F">
        <w:rPr>
          <w:bCs/>
        </w:rPr>
        <w:t xml:space="preserve">Шестьсот девяносто семь </w:t>
      </w:r>
      <w:r>
        <w:rPr>
          <w:bCs/>
        </w:rPr>
        <w:t>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25D73FD" w14:textId="219B4011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9B022F">
        <w:rPr>
          <w:b/>
          <w:bCs/>
          <w:color w:val="0070C0"/>
        </w:rPr>
        <w:t>35 0</w:t>
      </w:r>
      <w:r>
        <w:rPr>
          <w:b/>
          <w:bCs/>
          <w:color w:val="0070C0"/>
        </w:rPr>
        <w:t>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9B022F">
        <w:t xml:space="preserve">Тридцать пять </w:t>
      </w:r>
      <w:r w:rsidR="001E48C2">
        <w:t>тысяч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5FD80041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9B022F">
        <w:rPr>
          <w:b/>
          <w:bCs/>
          <w:color w:val="0070C0"/>
        </w:rPr>
        <w:t>14 000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9B022F">
        <w:t xml:space="preserve">Четырнадцать </w:t>
      </w:r>
      <w:r w:rsidR="001E48C2">
        <w:t>тысяч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</w:t>
      </w:r>
      <w:r>
        <w:lastRenderedPageBreak/>
        <w:t>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693251A9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7D3C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 марта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7D3C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A6B25">
        <w:rPr>
          <w:highlight w:val="lightGray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32B8290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C2743">
        <w:rPr>
          <w:b/>
          <w:color w:val="0070C0"/>
          <w:u w:val="single"/>
        </w:rPr>
        <w:t>2</w:t>
      </w:r>
      <w:r w:rsidR="007D3C04">
        <w:rPr>
          <w:b/>
          <w:color w:val="0070C0"/>
          <w:u w:val="single"/>
        </w:rPr>
        <w:t>5 января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7D3C04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24CE" w14:textId="77777777" w:rsidR="00122D15" w:rsidRDefault="00122D15" w:rsidP="00183809">
      <w:r>
        <w:separator/>
      </w:r>
    </w:p>
  </w:endnote>
  <w:endnote w:type="continuationSeparator" w:id="0">
    <w:p w14:paraId="05EDD568" w14:textId="77777777" w:rsidR="00122D15" w:rsidRDefault="00122D15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9504" w14:textId="77777777" w:rsidR="00122D15" w:rsidRDefault="00122D15" w:rsidP="00183809">
      <w:r>
        <w:separator/>
      </w:r>
    </w:p>
  </w:footnote>
  <w:footnote w:type="continuationSeparator" w:id="0">
    <w:p w14:paraId="0BA475A3" w14:textId="77777777" w:rsidR="00122D15" w:rsidRDefault="00122D15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22D15"/>
    <w:rsid w:val="00151A5F"/>
    <w:rsid w:val="00161004"/>
    <w:rsid w:val="00170516"/>
    <w:rsid w:val="00183809"/>
    <w:rsid w:val="00196F8C"/>
    <w:rsid w:val="001D0B05"/>
    <w:rsid w:val="001E1B6A"/>
    <w:rsid w:val="001E48C2"/>
    <w:rsid w:val="001E4F6D"/>
    <w:rsid w:val="002656E7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76A26"/>
    <w:rsid w:val="00382803"/>
    <w:rsid w:val="003F520C"/>
    <w:rsid w:val="004232B4"/>
    <w:rsid w:val="004828B9"/>
    <w:rsid w:val="00497809"/>
    <w:rsid w:val="004F3654"/>
    <w:rsid w:val="00532E6C"/>
    <w:rsid w:val="00557371"/>
    <w:rsid w:val="00561AF2"/>
    <w:rsid w:val="00563013"/>
    <w:rsid w:val="00564BD7"/>
    <w:rsid w:val="00571501"/>
    <w:rsid w:val="005972CC"/>
    <w:rsid w:val="005B1A65"/>
    <w:rsid w:val="005B41E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D5F11"/>
    <w:rsid w:val="006E01E4"/>
    <w:rsid w:val="00722772"/>
    <w:rsid w:val="007420C8"/>
    <w:rsid w:val="0076234B"/>
    <w:rsid w:val="00772AC1"/>
    <w:rsid w:val="0077791A"/>
    <w:rsid w:val="007B77AD"/>
    <w:rsid w:val="007D3C04"/>
    <w:rsid w:val="007D701D"/>
    <w:rsid w:val="007E68EA"/>
    <w:rsid w:val="007F6039"/>
    <w:rsid w:val="00834F25"/>
    <w:rsid w:val="008446B9"/>
    <w:rsid w:val="00856ECB"/>
    <w:rsid w:val="008862B6"/>
    <w:rsid w:val="008930C5"/>
    <w:rsid w:val="008A1B1C"/>
    <w:rsid w:val="008B0D1B"/>
    <w:rsid w:val="008F0A4B"/>
    <w:rsid w:val="00916D94"/>
    <w:rsid w:val="0096261E"/>
    <w:rsid w:val="00996E61"/>
    <w:rsid w:val="009B022F"/>
    <w:rsid w:val="009C4334"/>
    <w:rsid w:val="009C5E98"/>
    <w:rsid w:val="009D025E"/>
    <w:rsid w:val="009D5A47"/>
    <w:rsid w:val="009E2591"/>
    <w:rsid w:val="00A00018"/>
    <w:rsid w:val="00A071C7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30CE6"/>
    <w:rsid w:val="00C57F4D"/>
    <w:rsid w:val="00C645B3"/>
    <w:rsid w:val="00C74B1A"/>
    <w:rsid w:val="00C96C52"/>
    <w:rsid w:val="00CD4F0F"/>
    <w:rsid w:val="00D0777C"/>
    <w:rsid w:val="00D230FA"/>
    <w:rsid w:val="00D300AD"/>
    <w:rsid w:val="00D30FAE"/>
    <w:rsid w:val="00D425CB"/>
    <w:rsid w:val="00D5080A"/>
    <w:rsid w:val="00DB475F"/>
    <w:rsid w:val="00DC31EA"/>
    <w:rsid w:val="00DF3CF7"/>
    <w:rsid w:val="00E022F8"/>
    <w:rsid w:val="00E3242B"/>
    <w:rsid w:val="00E41428"/>
    <w:rsid w:val="00E61A27"/>
    <w:rsid w:val="00E6364E"/>
    <w:rsid w:val="00E66803"/>
    <w:rsid w:val="00E75740"/>
    <w:rsid w:val="00E904D2"/>
    <w:rsid w:val="00EB4E8A"/>
    <w:rsid w:val="00F01DB7"/>
    <w:rsid w:val="00F06251"/>
    <w:rsid w:val="00F166ED"/>
    <w:rsid w:val="00F27D20"/>
    <w:rsid w:val="00F561E4"/>
    <w:rsid w:val="00F90048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14</cp:revision>
  <dcterms:created xsi:type="dcterms:W3CDTF">2023-10-24T07:22:00Z</dcterms:created>
  <dcterms:modified xsi:type="dcterms:W3CDTF">2024-01-24T01:39:00Z</dcterms:modified>
</cp:coreProperties>
</file>