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EA693A">
              <w:t>8</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 Арбитражного суда Ростовской области от 16.08.2018г.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551B7D" w:rsidRPr="00EA693A">
        <w:t>___</w:t>
      </w:r>
      <w:r w:rsidR="00600463" w:rsidRPr="00EA693A">
        <w:t xml:space="preserve"> </w:t>
      </w:r>
      <w:r w:rsidR="0060190F" w:rsidRPr="00EA693A">
        <w:t xml:space="preserve">от </w:t>
      </w:r>
      <w:r w:rsidR="00EB1D7A">
        <w:t>22</w:t>
      </w:r>
      <w:r w:rsidR="003D055A" w:rsidRPr="00EA693A">
        <w:t>.</w:t>
      </w:r>
      <w:r w:rsidR="00EB1D7A">
        <w:t>10</w:t>
      </w:r>
      <w:r w:rsidR="007C6459" w:rsidRPr="00EA693A">
        <w:t>.201</w:t>
      </w:r>
      <w:r w:rsidR="00EA693A" w:rsidRPr="00EA693A">
        <w:t>8</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F30FCB">
        <w:rPr>
          <w:b/>
        </w:rPr>
        <w:t>1</w:t>
      </w:r>
      <w:r w:rsidR="00EA693A">
        <w:rPr>
          <w:b/>
        </w:rPr>
        <w:t>-11</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EB1D7A">
        <w:t>ведений о банкротстве №___ от 22.10</w:t>
      </w:r>
      <w:r w:rsidR="00EA693A" w:rsidRPr="00EA693A">
        <w:t>.2018г.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B32B98">
        <w:t xml:space="preserve">начальной </w:t>
      </w:r>
      <w:r w:rsidR="00E932E8">
        <w:t xml:space="preserve">цены лота </w:t>
      </w:r>
      <w:r w:rsidR="0010410D">
        <w:t xml:space="preserve">по </w:t>
      </w:r>
      <w:r w:rsidRPr="00FF2ADF">
        <w:t>лот</w:t>
      </w:r>
      <w:r w:rsidR="0010410D">
        <w:t>у</w:t>
      </w:r>
      <w:r w:rsidRPr="00FF2ADF">
        <w:t xml:space="preserve"> № </w:t>
      </w:r>
      <w:r w:rsidR="00F30FCB">
        <w:t>1</w:t>
      </w:r>
      <w:r w:rsidR="00EA693A">
        <w:t>-11</w:t>
      </w:r>
      <w:r w:rsidR="00F65BBC">
        <w:t xml:space="preserve"> </w:t>
      </w:r>
      <w:r w:rsidRPr="00FF2ADF">
        <w:t>(далее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начальной цены лота № 1</w:t>
      </w:r>
      <w:r w:rsidR="00EA693A">
        <w:t>-11</w:t>
      </w:r>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 xml:space="preserve">даты формирования протокола об определении </w:t>
      </w:r>
      <w:r w:rsidR="00EB1D7A">
        <w:t>участников торгов, не позднее 03.12</w:t>
      </w:r>
      <w:r w:rsidR="00551B7D" w:rsidRPr="00551B7D">
        <w:t>.2018</w:t>
      </w:r>
      <w:r w:rsidR="00B32B98" w:rsidRPr="00551B7D">
        <w:t>г. 15 час 00 мин.</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w:t>
      </w:r>
      <w:bookmarkStart w:id="0" w:name="_GoBack"/>
      <w:bookmarkEnd w:id="0"/>
      <w:r w:rsidRPr="00FF2ADF">
        <w:t>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lastRenderedPageBreak/>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9D66A5"/>
    <w:rsid w:val="00A00562"/>
    <w:rsid w:val="00A53672"/>
    <w:rsid w:val="00AF07F1"/>
    <w:rsid w:val="00B32B98"/>
    <w:rsid w:val="00BF0BF9"/>
    <w:rsid w:val="00BF11D2"/>
    <w:rsid w:val="00C8609E"/>
    <w:rsid w:val="00D37ACA"/>
    <w:rsid w:val="00D47567"/>
    <w:rsid w:val="00D53E9C"/>
    <w:rsid w:val="00D72923"/>
    <w:rsid w:val="00D8060B"/>
    <w:rsid w:val="00E93270"/>
    <w:rsid w:val="00E932E8"/>
    <w:rsid w:val="00EA693A"/>
    <w:rsid w:val="00EB1D7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1B0DA7"/>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1ACE-DD1F-4103-97FB-40A0953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15</cp:revision>
  <cp:lastPrinted>2010-09-29T15:55:00Z</cp:lastPrinted>
  <dcterms:created xsi:type="dcterms:W3CDTF">2016-06-28T11:14:00Z</dcterms:created>
  <dcterms:modified xsi:type="dcterms:W3CDTF">2018-10-22T14:17:00Z</dcterms:modified>
</cp:coreProperties>
</file>