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7156382B" w:rsidR="00E601C5" w:rsidRPr="00F77A17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BB12E7" w:rsidRPr="00EB453D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Pr="00EB453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г. Протвино, Кременковское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6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>Петербурга и Ленинградской области от 14.09.2023 по делу №А56-432/2019/ж.17</w:t>
      </w:r>
      <w:r w:rsidR="00CA012B">
        <w:rPr>
          <w:rFonts w:ascii="Times New Roman" w:eastAsia="Times New Roman" w:hAnsi="Times New Roman" w:cs="Times New Roman"/>
          <w:lang w:eastAsia="ru-RU"/>
        </w:rPr>
        <w:t>,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A17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F77A17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F77A1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F77A1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BF7F58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</w:t>
      </w:r>
      <w:r w:rsidR="00E601C5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BF7F58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E601C5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</w:t>
      </w:r>
      <w:r w:rsidR="002F1802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F77A17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F77A17">
        <w:rPr>
          <w:rFonts w:ascii="Times New Roman" w:eastAsia="Times New Roman" w:hAnsi="Times New Roman" w:cs="Times New Roman"/>
          <w:b/>
          <w:lang w:eastAsia="ru-RU"/>
        </w:rPr>
        <w:t> </w:t>
      </w:r>
      <w:r w:rsidRPr="00F77A17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8" w:history="1">
        <w:r w:rsidRPr="00F77A17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F77A17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F77A17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F77A17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F77A17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.ru/</w:t>
        </w:r>
      </w:hyperlink>
      <w:r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r w:rsidR="004B78E2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F77A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="00E601C5" w:rsidRPr="00F77A17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F77A17">
        <w:rPr>
          <w:rFonts w:ascii="Times New Roman" w:eastAsia="Calibri" w:hAnsi="Times New Roman" w:cs="Times New Roman"/>
          <w:b/>
        </w:rPr>
        <w:t xml:space="preserve">с 09 час. 00 мин. (время мск) </w:t>
      </w:r>
      <w:r w:rsidR="00BF7F58" w:rsidRPr="00F77A17">
        <w:rPr>
          <w:rFonts w:ascii="Times New Roman" w:eastAsia="Calibri" w:hAnsi="Times New Roman" w:cs="Times New Roman"/>
          <w:b/>
        </w:rPr>
        <w:t>27</w:t>
      </w:r>
      <w:r w:rsidR="00E601C5" w:rsidRPr="00F77A17">
        <w:rPr>
          <w:rFonts w:ascii="Times New Roman" w:eastAsia="Calibri" w:hAnsi="Times New Roman" w:cs="Times New Roman"/>
          <w:b/>
        </w:rPr>
        <w:t>.</w:t>
      </w:r>
      <w:r w:rsidR="00BF7F58" w:rsidRPr="00F77A17">
        <w:rPr>
          <w:rFonts w:ascii="Times New Roman" w:eastAsia="Calibri" w:hAnsi="Times New Roman" w:cs="Times New Roman"/>
          <w:b/>
        </w:rPr>
        <w:t>01</w:t>
      </w:r>
      <w:r w:rsidR="00E601C5" w:rsidRPr="00F77A17">
        <w:rPr>
          <w:rFonts w:ascii="Times New Roman" w:eastAsia="Calibri" w:hAnsi="Times New Roman" w:cs="Times New Roman"/>
          <w:b/>
        </w:rPr>
        <w:t xml:space="preserve">.2024 по </w:t>
      </w:r>
      <w:r w:rsidR="00BF7F58" w:rsidRPr="00F77A17">
        <w:rPr>
          <w:rFonts w:ascii="Times New Roman" w:eastAsia="Calibri" w:hAnsi="Times New Roman" w:cs="Times New Roman"/>
          <w:b/>
        </w:rPr>
        <w:t>11</w:t>
      </w:r>
      <w:r w:rsidR="00E601C5" w:rsidRPr="00F77A17">
        <w:rPr>
          <w:rFonts w:ascii="Times New Roman" w:eastAsia="Calibri" w:hAnsi="Times New Roman" w:cs="Times New Roman"/>
          <w:b/>
        </w:rPr>
        <w:t>.</w:t>
      </w:r>
      <w:r w:rsidR="00BF7F58" w:rsidRPr="00F77A17">
        <w:rPr>
          <w:rFonts w:ascii="Times New Roman" w:eastAsia="Calibri" w:hAnsi="Times New Roman" w:cs="Times New Roman"/>
          <w:b/>
        </w:rPr>
        <w:t>03</w:t>
      </w:r>
      <w:r w:rsidR="00E601C5" w:rsidRPr="00F77A17">
        <w:rPr>
          <w:rFonts w:ascii="Times New Roman" w:eastAsia="Calibri" w:hAnsi="Times New Roman" w:cs="Times New Roman"/>
          <w:b/>
        </w:rPr>
        <w:t>.2024 до 23 час</w:t>
      </w:r>
      <w:r w:rsidR="003D5B8C">
        <w:rPr>
          <w:rFonts w:ascii="Times New Roman" w:eastAsia="Calibri" w:hAnsi="Times New Roman" w:cs="Times New Roman"/>
          <w:b/>
        </w:rPr>
        <w:t>.</w:t>
      </w:r>
      <w:r w:rsidR="00E601C5" w:rsidRPr="00F77A17">
        <w:rPr>
          <w:rFonts w:ascii="Times New Roman" w:eastAsia="Calibri" w:hAnsi="Times New Roman" w:cs="Times New Roman"/>
          <w:b/>
        </w:rPr>
        <w:t xml:space="preserve"> 00 мин. </w:t>
      </w:r>
      <w:r w:rsidR="00E601C5" w:rsidRPr="00F77A17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F77A17">
        <w:rPr>
          <w:rFonts w:ascii="Times New Roman" w:eastAsia="Calibri" w:hAnsi="Times New Roman" w:cs="Times New Roman"/>
          <w:b/>
        </w:rPr>
        <w:t xml:space="preserve"> –</w:t>
      </w:r>
      <w:r w:rsidR="00BF7F58" w:rsidRPr="00F77A17">
        <w:rPr>
          <w:rFonts w:ascii="Times New Roman" w:eastAsia="Calibri" w:hAnsi="Times New Roman" w:cs="Times New Roman"/>
          <w:b/>
        </w:rPr>
        <w:t xml:space="preserve"> 12</w:t>
      </w:r>
      <w:r w:rsidR="00E601C5" w:rsidRPr="00F77A17">
        <w:rPr>
          <w:rFonts w:ascii="Times New Roman" w:eastAsia="Calibri" w:hAnsi="Times New Roman" w:cs="Times New Roman"/>
          <w:b/>
        </w:rPr>
        <w:t>.</w:t>
      </w:r>
      <w:r w:rsidR="00BF7F58" w:rsidRPr="00F77A17">
        <w:rPr>
          <w:rFonts w:ascii="Times New Roman" w:eastAsia="Calibri" w:hAnsi="Times New Roman" w:cs="Times New Roman"/>
          <w:b/>
        </w:rPr>
        <w:t>03</w:t>
      </w:r>
      <w:r w:rsidR="00E601C5" w:rsidRPr="00F77A17">
        <w:rPr>
          <w:rFonts w:ascii="Times New Roman" w:eastAsia="Calibri" w:hAnsi="Times New Roman" w:cs="Times New Roman"/>
          <w:b/>
        </w:rPr>
        <w:t xml:space="preserve">.2024 в 17 час. 00 мин., </w:t>
      </w:r>
      <w:r w:rsidR="00E601C5" w:rsidRPr="00F77A17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4878C5CB" w14:textId="262612F2" w:rsidR="00E601C5" w:rsidRPr="00EB453D" w:rsidRDefault="00E601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77A17">
        <w:rPr>
          <w:rFonts w:ascii="Times New Roman" w:eastAsia="Calibri" w:hAnsi="Times New Roman" w:cs="Times New Roman"/>
        </w:rPr>
        <w:t xml:space="preserve">Продаже на Торгах </w:t>
      </w:r>
      <w:r w:rsidRPr="00F77A17">
        <w:rPr>
          <w:rFonts w:ascii="Times New Roman" w:eastAsia="Calibri" w:hAnsi="Times New Roman" w:cs="Times New Roman"/>
          <w:b/>
        </w:rPr>
        <w:t xml:space="preserve">отдельными лотам </w:t>
      </w:r>
      <w:r w:rsidRPr="00F77A17">
        <w:rPr>
          <w:rFonts w:ascii="Times New Roman" w:eastAsia="Calibri" w:hAnsi="Times New Roman" w:cs="Times New Roman"/>
        </w:rPr>
        <w:t xml:space="preserve">подлежит следующее имущество </w:t>
      </w:r>
      <w:bookmarkEnd w:id="0"/>
      <w:r w:rsidRPr="00F77A17">
        <w:rPr>
          <w:rFonts w:ascii="Times New Roman" w:eastAsia="Calibri" w:hAnsi="Times New Roman" w:cs="Times New Roman"/>
        </w:rPr>
        <w:t>(далее</w:t>
      </w:r>
      <w:r w:rsidRPr="00EB453D">
        <w:rPr>
          <w:rFonts w:ascii="Times New Roman" w:eastAsia="Calibri" w:hAnsi="Times New Roman" w:cs="Times New Roman"/>
        </w:rPr>
        <w:t xml:space="preserve"> – Имущество, Лот(ы)): </w:t>
      </w:r>
    </w:p>
    <w:p w14:paraId="0E3CB369" w14:textId="74AFBCC5" w:rsidR="0074711D" w:rsidRPr="00EB453D" w:rsidRDefault="0074711D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 1. Движимое имущество в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количестве</w:t>
      </w:r>
      <w:r w:rsidR="002031CD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344 </w:t>
      </w:r>
      <w:r w:rsidR="00623C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ед</w:t>
      </w:r>
      <w:r w:rsidR="003114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иниц</w:t>
      </w: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(в том числе: тюбингоукладчики, контейнеры, бытовая техника, тара, станки, </w:t>
      </w:r>
      <w:r w:rsidR="002031CD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автомобили, самоходная техника,</w:t>
      </w:r>
      <w:r w:rsidR="002031CD" w:rsidRPr="00EB453D">
        <w:rPr>
          <w:rFonts w:ascii="Times New Roman" w:hAnsi="Times New Roman" w:cs="Times New Roman"/>
        </w:rPr>
        <w:t xml:space="preserve"> </w:t>
      </w:r>
      <w:r w:rsidR="002031CD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краны, буровое оборудование, сварочное оборудование, тали, лебедки, тельферы и др.)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адресу: г. Санкт-Петербург, ул. Маршала Говорова, д. 39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0F7B75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Начальная цена Лота 1 – 206 007 500  руб.</w:t>
      </w:r>
    </w:p>
    <w:p w14:paraId="7AC8DC97" w14:textId="6A57B658" w:rsidR="00765541" w:rsidRPr="00EB453D" w:rsidRDefault="000F7B75" w:rsidP="007E21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 2. Движимое имущество в количестве </w:t>
      </w:r>
      <w:r w:rsidR="00765CA1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236 </w:t>
      </w:r>
      <w:r w:rsidR="00623C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ед</w:t>
      </w:r>
      <w:r w:rsidR="003114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иниц</w:t>
      </w: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(в том числе:</w:t>
      </w: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погрузчики, автомобили, самоходная техника, станки, тельферы, вагонетки,</w:t>
      </w:r>
      <w:r w:rsidR="00765CA1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краны</w:t>
      </w:r>
      <w:r w:rsidR="00765541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др.), </w:t>
      </w:r>
      <w:r w:rsidRPr="00EB453D">
        <w:rPr>
          <w:rFonts w:ascii="Times New Roman" w:hAnsi="Times New Roman" w:cs="Times New Roman"/>
        </w:rPr>
        <w:t>по адресу: г. Санкт-Петербург, Ново-Никитинская ул., д. 17</w:t>
      </w:r>
      <w:r w:rsidR="00765541" w:rsidRPr="00EB453D">
        <w:rPr>
          <w:rFonts w:ascii="Times New Roman" w:hAnsi="Times New Roman" w:cs="Times New Roman"/>
        </w:rPr>
        <w:t>.</w:t>
      </w:r>
      <w:r w:rsidR="00765CA1" w:rsidRPr="00EB453D">
        <w:rPr>
          <w:rFonts w:ascii="Times New Roman" w:hAnsi="Times New Roman" w:cs="Times New Roman"/>
        </w:rPr>
        <w:t xml:space="preserve"> </w:t>
      </w:r>
      <w:r w:rsidR="00765541" w:rsidRPr="00EB453D">
        <w:rPr>
          <w:rFonts w:ascii="Times New Roman" w:hAnsi="Times New Roman" w:cs="Times New Roman"/>
          <w:b/>
          <w:bCs/>
        </w:rPr>
        <w:t>Начальная цена Лота 2 – 203 044 000 руб.</w:t>
      </w:r>
    </w:p>
    <w:p w14:paraId="7E2623D7" w14:textId="320C108A" w:rsidR="001F7770" w:rsidRPr="00EB453D" w:rsidRDefault="00765CA1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 3. Движимое имущество в количестве 19 </w:t>
      </w:r>
      <w:r w:rsidR="00623C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ед</w:t>
      </w:r>
      <w:r w:rsidR="003114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иниц</w:t>
      </w: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(в том числе:</w:t>
      </w: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84036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электровозы, станки, кран</w:t>
      </w:r>
      <w:r w:rsidR="00352A93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др.)</w:t>
      </w:r>
      <w:r w:rsidR="0021028F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по адресу: </w:t>
      </w:r>
      <w:r w:rsidR="00C25DFC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г. Санкт-Петербург, Витебский пр., д. 109. </w:t>
      </w:r>
      <w:r w:rsidR="008246A8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Начальная цена Лота 3 – 5 050 000 руб</w:t>
      </w:r>
      <w:r w:rsidR="001F7770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</w:p>
    <w:p w14:paraId="7C60C76F" w14:textId="46DA3E6F" w:rsidR="000F7B75" w:rsidRPr="00EB453D" w:rsidRDefault="001F7770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Подробный перечень Имущества </w:t>
      </w:r>
      <w:r w:rsidR="0056735B" w:rsidRPr="0056735B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Перечень)</w:t>
      </w:r>
      <w:r w:rsidR="0056735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размещен в ЕФРСБ и на сайте ЭП. </w:t>
      </w:r>
      <w:r w:rsidR="000F7B75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Обременения (ограничения) Имущества: 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часть имущества в составе Лота 1, Лота 2, Лота 3 обременен</w:t>
      </w:r>
      <w:r w:rsidR="00BF7B29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арендой в пользу АО «Метрострой Северной Столицы» на основании договора аренды движимого имущества № 09 от 29.11.2021</w:t>
      </w:r>
      <w:r w:rsidR="009828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(с учетом дополнительных соглашений)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срок по 23.02.2024 (автопролонгация до окончания конкурсного производства)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копия договора аренды будет предоставляться потенциальным покупателям по запросу, направленному Организатору торгов</w:t>
      </w:r>
      <w:r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информация об обременении арендой имущества в составе Лотов на момент заключения договор</w:t>
      </w:r>
      <w:r w:rsidR="003114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ов</w:t>
      </w:r>
      <w:r w:rsidR="000F7B75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купли-продажи по итогам торгов может отличаться от информации, указанной в </w:t>
      </w:r>
      <w:r w:rsidR="000F7B75" w:rsidRPr="00CF7D8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Перечне;</w:t>
      </w:r>
      <w:r w:rsidRPr="00CF7D8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F7B75" w:rsidRPr="00CF7D8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отношении части имущества в составе Лота 1, Лота 2 – </w:t>
      </w:r>
      <w:r w:rsidR="007B1E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согласно сведениям сервиса  «</w:t>
      </w:r>
      <w:r w:rsidR="007B1E46" w:rsidRPr="007B1E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Проверка автомобиля</w:t>
      </w:r>
      <w:r w:rsidR="007B1E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 ГИБДД </w:t>
      </w:r>
      <w:r w:rsidR="000F7B75" w:rsidRPr="00CF7D8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запрет на регистрационные действия.</w:t>
      </w:r>
    </w:p>
    <w:p w14:paraId="5D849B1E" w14:textId="67F60BC7" w:rsidR="006A5229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8(812)334-20-50 (с 9.00 до 18.00 по Московскому времени в рабочие дни), </w:t>
      </w:r>
      <w:hyperlink r:id="rId9" w:history="1">
        <w:r w:rsidR="00F76B7F" w:rsidRPr="00EB453D">
          <w:rPr>
            <w:rStyle w:val="a3"/>
            <w:rFonts w:ascii="Times New Roman" w:eastAsia="Times New Roman" w:hAnsi="Times New Roman" w:cs="Times New Roman"/>
            <w:lang w:eastAsia="ru-RU"/>
          </w:rPr>
          <w:t>informspb@auction-house.ru</w:t>
        </w:r>
      </w:hyperlink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B70EB3A" w14:textId="406973D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</w:t>
      </w:r>
      <w:r w:rsidR="00F76B7F"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F76B7F" w:rsidRPr="00EB453D">
        <w:rPr>
          <w:rFonts w:ascii="Times New Roman" w:eastAsia="Times New Roman" w:hAnsi="Times New Roman" w:cs="Times New Roman"/>
          <w:bCs/>
          <w:lang w:eastAsia="ru-RU"/>
        </w:rPr>
        <w:t>,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EB453D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аг аукциона </w:t>
      </w:r>
      <w:r w:rsidR="00F76B7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020938A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665A469C" w:rsidR="00D46EB8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орги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</w:t>
      </w:r>
      <w:bookmarkStart w:id="1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1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>№ 40702810212010127678 в Филиале «Корпоративный» ПАО «Совкомбанк» (г. Москва), к/с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 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>30101810445250000360, БИК 044525360</w:t>
      </w:r>
      <w:r w:rsidR="00364562">
        <w:rPr>
          <w:rFonts w:ascii="Times New Roman" w:eastAsia="Times New Roman" w:hAnsi="Times New Roman" w:cs="Times New Roman"/>
          <w:lang w:eastAsia="ru-RU"/>
        </w:rPr>
        <w:t>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B9C1D12" w14:textId="72A7451E" w:rsidR="00E7114E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</w:t>
      </w:r>
      <w:r w:rsidR="00D71879" w:rsidRPr="00EB453D">
        <w:rPr>
          <w:rFonts w:ascii="Times New Roman" w:hAnsi="Times New Roman" w:cs="Times New Roman"/>
          <w:shd w:val="clear" w:color="auto" w:fill="FFFFFF"/>
        </w:rPr>
        <w:t xml:space="preserve"> </w:t>
      </w:r>
      <w:r w:rsidRPr="00EB453D">
        <w:rPr>
          <w:rFonts w:ascii="Times New Roman" w:hAnsi="Times New Roman" w:cs="Times New Roman"/>
          <w:shd w:val="clear" w:color="auto" w:fill="FFFFFF"/>
        </w:rPr>
        <w:t>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5F143D8A" w14:textId="77777777" w:rsidR="00D47F8D" w:rsidRPr="00EB453D" w:rsidRDefault="00D47F8D" w:rsidP="00B75601">
      <w:pPr>
        <w:ind w:firstLine="567"/>
        <w:rPr>
          <w:rFonts w:ascii="Times New Roman" w:hAnsi="Times New Roman" w:cs="Times New Roman"/>
        </w:rPr>
      </w:pPr>
    </w:p>
    <w:sectPr w:rsidR="00D47F8D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805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94"/>
    <w:rsid w:val="00002F19"/>
    <w:rsid w:val="000046EA"/>
    <w:rsid w:val="00025B10"/>
    <w:rsid w:val="00027C20"/>
    <w:rsid w:val="00032C4B"/>
    <w:rsid w:val="0003609E"/>
    <w:rsid w:val="00037C14"/>
    <w:rsid w:val="00047C74"/>
    <w:rsid w:val="00065C15"/>
    <w:rsid w:val="000804EA"/>
    <w:rsid w:val="00081BC6"/>
    <w:rsid w:val="00084542"/>
    <w:rsid w:val="00093AE0"/>
    <w:rsid w:val="000B001F"/>
    <w:rsid w:val="000C0D8D"/>
    <w:rsid w:val="000D4A27"/>
    <w:rsid w:val="000F1DBE"/>
    <w:rsid w:val="000F7B75"/>
    <w:rsid w:val="00136FA5"/>
    <w:rsid w:val="00140669"/>
    <w:rsid w:val="00151088"/>
    <w:rsid w:val="001516AB"/>
    <w:rsid w:val="00162F90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D1E7D"/>
    <w:rsid w:val="002D3655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503EA6"/>
    <w:rsid w:val="00504A11"/>
    <w:rsid w:val="005069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C4AFA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66CAC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B63"/>
    <w:rsid w:val="007E5D9D"/>
    <w:rsid w:val="007E6507"/>
    <w:rsid w:val="007F7612"/>
    <w:rsid w:val="00800AF9"/>
    <w:rsid w:val="0080308E"/>
    <w:rsid w:val="00804253"/>
    <w:rsid w:val="008047ED"/>
    <w:rsid w:val="00811BD5"/>
    <w:rsid w:val="00812E02"/>
    <w:rsid w:val="008246A8"/>
    <w:rsid w:val="00840365"/>
    <w:rsid w:val="0084158B"/>
    <w:rsid w:val="0084289F"/>
    <w:rsid w:val="008432F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4A64"/>
    <w:rsid w:val="00BF0F7F"/>
    <w:rsid w:val="00BF1B18"/>
    <w:rsid w:val="00BF3311"/>
    <w:rsid w:val="00BF7B29"/>
    <w:rsid w:val="00BF7F58"/>
    <w:rsid w:val="00C0550B"/>
    <w:rsid w:val="00C17233"/>
    <w:rsid w:val="00C22AA0"/>
    <w:rsid w:val="00C25DFC"/>
    <w:rsid w:val="00C34E20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60F5"/>
    <w:rsid w:val="00CA012B"/>
    <w:rsid w:val="00CC54F7"/>
    <w:rsid w:val="00CC5941"/>
    <w:rsid w:val="00CD0A3F"/>
    <w:rsid w:val="00CD2967"/>
    <w:rsid w:val="00CD455E"/>
    <w:rsid w:val="00CE363D"/>
    <w:rsid w:val="00CE45BD"/>
    <w:rsid w:val="00CE76E7"/>
    <w:rsid w:val="00CF7D80"/>
    <w:rsid w:val="00D16C84"/>
    <w:rsid w:val="00D31521"/>
    <w:rsid w:val="00D32CEF"/>
    <w:rsid w:val="00D46EB8"/>
    <w:rsid w:val="00D47F8D"/>
    <w:rsid w:val="00D5655A"/>
    <w:rsid w:val="00D71879"/>
    <w:rsid w:val="00D777DE"/>
    <w:rsid w:val="00D9708B"/>
    <w:rsid w:val="00DA1590"/>
    <w:rsid w:val="00DA270C"/>
    <w:rsid w:val="00DF14F2"/>
    <w:rsid w:val="00DF7232"/>
    <w:rsid w:val="00E05890"/>
    <w:rsid w:val="00E21536"/>
    <w:rsid w:val="00E2196A"/>
    <w:rsid w:val="00E47026"/>
    <w:rsid w:val="00E601C5"/>
    <w:rsid w:val="00E61880"/>
    <w:rsid w:val="00E7114E"/>
    <w:rsid w:val="00E8069F"/>
    <w:rsid w:val="00E8350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2C04"/>
    <w:rsid w:val="00F37525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A36-A4BE-4A3B-B0DB-1F6FA204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Шмат Алиса Владимировна</cp:lastModifiedBy>
  <cp:revision>55</cp:revision>
  <cp:lastPrinted>2024-01-26T06:36:00Z</cp:lastPrinted>
  <dcterms:created xsi:type="dcterms:W3CDTF">2023-12-11T18:38:00Z</dcterms:created>
  <dcterms:modified xsi:type="dcterms:W3CDTF">2024-01-26T08:18:00Z</dcterms:modified>
</cp:coreProperties>
</file>