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Style w:val="TableStyle0"/>
        <w:tblW w:w="10395" w:type="dxa"/>
        <w:jc w:val="left"/>
        <w:tblInd w:w="0" w:type="dxa"/>
        <w:tblCellMar>
          <w:top w:w="0" w:type="dxa"/>
          <w:left w:w="0" w:type="dxa"/>
          <w:bottom w:w="0" w:type="dxa"/>
          <w:right w:w="0" w:type="dxa"/>
        </w:tblCellMar>
        <w:tblLook w:val="04a0"/>
      </w:tblPr>
      <w:tblGrid>
        <w:gridCol w:w="944"/>
        <w:gridCol w:w="945"/>
        <w:gridCol w:w="945"/>
        <w:gridCol w:w="945"/>
        <w:gridCol w:w="945"/>
        <w:gridCol w:w="946"/>
        <w:gridCol w:w="945"/>
        <w:gridCol w:w="945"/>
        <w:gridCol w:w="945"/>
        <w:gridCol w:w="945"/>
        <w:gridCol w:w="943"/>
      </w:tblGrid>
      <w:tr>
        <w:trPr>
          <w:trHeight w:val="315"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sz w:val="20"/>
                <w:szCs w:val="20"/>
              </w:rPr>
              <w:t xml:space="preserve">ТИПОВОЙ </w:t>
            </w:r>
            <w:r>
              <w:rPr>
                <w:rFonts w:ascii="Times New Roman" w:hAnsi="Times New Roman"/>
                <w:b/>
                <w:sz w:val="20"/>
                <w:szCs w:val="20"/>
              </w:rPr>
              <w:t>ДОГОВОР</w:t>
            </w:r>
          </w:p>
        </w:tc>
      </w:tr>
      <w:tr>
        <w:trPr>
          <w:trHeight w:val="270"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sz w:val="20"/>
                <w:szCs w:val="20"/>
              </w:rPr>
              <w:t>купли-продажи</w:t>
            </w:r>
          </w:p>
        </w:tc>
      </w:tr>
      <w:tr>
        <w:trPr>
          <w:trHeight w:val="270" w:hRule="exact"/>
        </w:trPr>
        <w:tc>
          <w:tcPr>
            <w:tcW w:w="9450" w:type="dxa"/>
            <w:gridSpan w:val="10"/>
            <w:tcBorders/>
            <w:shd w:color="FFFFFF" w:fill="auto" w:val="clear"/>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3" w:type="dxa"/>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sz w:val="20"/>
                <w:szCs w:val="20"/>
              </w:rPr>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Мы, нижеподписавшиеся:</w:t>
            </w:r>
          </w:p>
        </w:tc>
      </w:tr>
      <w:tr>
        <w:trPr>
          <w:trHeight w:val="169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 xml:space="preserve">Гражданин РФ Евсеева Ольга Леонидовна (Асанова Ольга Леонидовна) (19.03.1976г.р., место рожд: д. Удмурт-Китяк Малмыжский район Кировская область РСФСР, адрес рег: 612928, Кировская обл, Малмыжский р-н, Новая Смаиль с, Коммунальная ул, дом № 10, квартира 2, СНИЛС06284857696, ИНН 431700611536, паспорт РФ серия 3321, номер 685825, выдан 31.03.2021, кем выдан УМВД России по Кировской области, код подразделения 430-017), в лице Гражданина РФ Финансового управляющего Черных Анастасии Владимировны (ИНН 741855182997, СНИЛС 14584372787, рег.номер 21402), действующего на основании решения Арбитражного суда Кировской области от 04.05.2023г. по делу №А28-2523/2023, именуемый в дальнейшем «Продавец», с одной стороны, и </w:t>
            </w:r>
          </w:p>
        </w:tc>
      </w:tr>
      <w:tr>
        <w:trPr>
          <w:trHeight w:val="49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sz w:val="20"/>
                <w:szCs w:val="20"/>
              </w:rPr>
              <w:t>1.  Предмет договора</w:t>
            </w:r>
          </w:p>
        </w:tc>
      </w:tr>
      <w:tr>
        <w:trPr>
          <w:trHeight w:val="97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1.1.  В соответствии с Протоколом №  от 15.12.2023г. по продаже имущества Евсеевой Ольги Леонидовны,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w:t>
            </w:r>
          </w:p>
        </w:tc>
      </w:tr>
      <w:tr>
        <w:trPr>
          <w:trHeight w:val="495" w:hRule="exact"/>
        </w:trPr>
        <w:tc>
          <w:tcPr>
            <w:tcW w:w="10393" w:type="dxa"/>
            <w:gridSpan w:val="11"/>
            <w:tcBorders/>
            <w:shd w:color="FFFFFF" w:fill="FFFFFF"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ЛОТ №1 - Жилой дом, дача, площадь: 35,4м², адрес (местонахождение): Кировская область, р-н. Малмыжский, с. Большой Китяк, ул. Николая Тишина, д. 41</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Право собственности зарегистрировано в установленном законом порядке (далее по тексту - «Имущество»).</w:t>
            </w:r>
          </w:p>
        </w:tc>
      </w:tr>
      <w:tr>
        <w:trPr>
          <w:trHeight w:val="49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1.2. На момент составления Договора купли-продажи на вышеуказанном имуществе обременения/ограничения отсутствуют.</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sz w:val="20"/>
                <w:szCs w:val="20"/>
              </w:rPr>
              <w:t>2. Обязанности Сторон</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2.1. Продавец обязуется:</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2.1.1. Передать Покупателю имущество по акту приема-передачи.</w:t>
            </w:r>
          </w:p>
        </w:tc>
      </w:tr>
      <w:tr>
        <w:trPr>
          <w:trHeight w:val="73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2.2. Покупатель обязан:</w:t>
            </w:r>
          </w:p>
        </w:tc>
      </w:tr>
      <w:tr>
        <w:trPr>
          <w:trHeight w:val="285" w:hRule="exact"/>
        </w:trPr>
        <w:tc>
          <w:tcPr>
            <w:tcW w:w="10393" w:type="dxa"/>
            <w:gridSpan w:val="11"/>
            <w:tcBorders/>
            <w:shd w:color="FFFFFF" w:fill="auto" w:val="clear"/>
            <w:vAlign w:val="bottom"/>
          </w:tcPr>
          <w:p>
            <w:pPr>
              <w:pStyle w:val="Normal"/>
              <w:bidi w:val="0"/>
              <w:spacing w:lineRule="auto" w:line="240" w:before="0" w:after="0"/>
              <w:jc w:val="left"/>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2.2.1. Оплатить полную стоимость имущества в соответствии с настоящим договором.</w:t>
            </w:r>
          </w:p>
        </w:tc>
      </w:tr>
      <w:tr>
        <w:trPr>
          <w:trHeight w:val="49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sz w:val="20"/>
                <w:szCs w:val="20"/>
              </w:rPr>
              <w:t>3. Цена и порядок расчетов</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left"/>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3.1. Стоимость имущества составляет:</w:t>
            </w:r>
          </w:p>
        </w:tc>
      </w:tr>
      <w:tr>
        <w:trPr>
          <w:trHeight w:val="97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0 (Ноль рублей 00 копеек) без учета НДС (подпункт 15 п.2 ст.146 НК), Задаток, оплаченный Покупателем, составляет 0 (Ноль рублей 00 копеек), итоговая сумма оплаты Покупателем составляет 0 (Ноль рублей 00 копеек). Цена настоящего договора установлена по результатам проведения торгов, которые проводились 15.12.2023г. на сайте https://lot-online.ru/, и указана в Протоколе  от 15.12.2023г. является окончательной и изменению не подлежит.</w:t>
            </w:r>
          </w:p>
        </w:tc>
      </w:tr>
      <w:tr>
        <w:trPr>
          <w:trHeight w:val="52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49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 xml:space="preserve">3.3. Оплата стоимости имущества по настоящему договору осуществляется Покупателем безналичным платежом на расчетный счет:  </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left"/>
              <w:rPr>
                <w:rFonts w:ascii="Times New Roman" w:hAnsi="Times New Roman"/>
                <w:sz w:val="20"/>
                <w:szCs w:val="20"/>
              </w:rPr>
            </w:pPr>
            <w:r>
              <w:rPr>
                <w:rFonts w:ascii="Times New Roman" w:hAnsi="Times New Roman"/>
                <w:sz w:val="20"/>
                <w:szCs w:val="20"/>
              </w:rPr>
              <w:t>Получатель: Арбитражный управляющий Черных Анастасия Владимировна (ИНН 741855182997)</w:t>
            </w:r>
          </w:p>
        </w:tc>
      </w:tr>
      <w:tr>
        <w:trPr>
          <w:trHeight w:val="975" w:hRule="exact"/>
        </w:trPr>
        <w:tc>
          <w:tcPr>
            <w:tcW w:w="10393" w:type="dxa"/>
            <w:gridSpan w:val="11"/>
            <w:tcBorders/>
            <w:shd w:color="FFFFFF" w:fill="auto" w:val="clear"/>
            <w:vAlign w:val="bottom"/>
          </w:tcPr>
          <w:p>
            <w:pPr>
              <w:pStyle w:val="Normal"/>
              <w:bidi w:val="0"/>
              <w:spacing w:lineRule="auto" w:line="240" w:before="0" w:after="0"/>
              <w:jc w:val="left"/>
              <w:rPr>
                <w:rFonts w:ascii="Times New Roman" w:hAnsi="Times New Roman"/>
                <w:sz w:val="20"/>
                <w:szCs w:val="20"/>
              </w:rPr>
            </w:pPr>
            <w:r>
              <w:rPr>
                <w:rFonts w:ascii="Times New Roman" w:hAnsi="Times New Roman"/>
                <w:sz w:val="20"/>
                <w:szCs w:val="20"/>
              </w:rPr>
              <w:t>Р/СЧ 40802810272000080172</w:t>
              <w:br/>
              <w:t>БИК 047501602</w:t>
              <w:br/>
              <w:t>КР/СЧ 30101810700000000602</w:t>
              <w:br/>
              <w:t>НАИМЕНОВАНИЕ БАНКА ЧЕЛЯБИНСКОЕ ОСБ N 8597,</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left"/>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в течение тридцати дней с даты подписания настоящего договора.</w:t>
            </w:r>
          </w:p>
        </w:tc>
      </w:tr>
      <w:tr>
        <w:trPr>
          <w:trHeight w:val="73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sz w:val="20"/>
                <w:szCs w:val="20"/>
              </w:rPr>
              <w:t>4. Передача имущества и переход риска случайной гибели имущества</w:t>
            </w:r>
          </w:p>
        </w:tc>
      </w:tr>
      <w:tr>
        <w:trPr>
          <w:trHeight w:val="93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285"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sz w:val="20"/>
                <w:szCs w:val="20"/>
              </w:rPr>
              <w:t>5. Возникновение права собственности</w:t>
            </w:r>
          </w:p>
        </w:tc>
      </w:tr>
      <w:tr>
        <w:trPr>
          <w:trHeight w:val="58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5.1. Право собственности на имущество переходит от Продавца к Покупателю в момент государственной регистрации права собственности.</w:t>
            </w:r>
          </w:p>
        </w:tc>
      </w:tr>
      <w:tr>
        <w:trPr>
          <w:trHeight w:val="285"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sz w:val="20"/>
                <w:szCs w:val="20"/>
              </w:rPr>
              <w:t>6. Ответственность Сторон</w:t>
            </w:r>
          </w:p>
        </w:tc>
      </w:tr>
      <w:tr>
        <w:trPr>
          <w:trHeight w:val="51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85"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sz w:val="20"/>
                <w:szCs w:val="20"/>
              </w:rPr>
              <w:t>7. Порядок разрешения споров</w:t>
            </w:r>
          </w:p>
        </w:tc>
      </w:tr>
      <w:tr>
        <w:trPr>
          <w:trHeight w:val="54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85"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sz w:val="20"/>
                <w:szCs w:val="20"/>
              </w:rPr>
              <w:t>8. Условия изменения и расторжения договора</w:t>
            </w:r>
          </w:p>
        </w:tc>
      </w:tr>
      <w:tr>
        <w:trPr>
          <w:trHeight w:val="58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5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r>
          </w:p>
        </w:tc>
      </w:tr>
      <w:tr>
        <w:trPr>
          <w:trHeight w:val="99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r>
          </w:p>
        </w:tc>
      </w:tr>
      <w:tr>
        <w:trPr>
          <w:trHeight w:val="93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br/>
              <w:br/>
            </w:r>
          </w:p>
        </w:tc>
      </w:tr>
      <w:tr>
        <w:trPr>
          <w:trHeight w:val="285"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sz w:val="20"/>
                <w:szCs w:val="20"/>
              </w:rPr>
              <w:t>9. Заключительные положения</w:t>
            </w:r>
          </w:p>
        </w:tc>
      </w:tr>
      <w:tr>
        <w:trPr>
          <w:trHeight w:val="58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9.2. Сторонами договора рассмотрены все документы, подготовленные в связи с продажей имущества.</w:t>
            </w:r>
          </w:p>
        </w:tc>
      </w:tr>
      <w:tr>
        <w:trPr>
          <w:trHeight w:val="27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9.3. Настоящий Договор составлен в 2-х экземплярах, имеющих одинаковую юридическую силу.</w:t>
            </w:r>
          </w:p>
        </w:tc>
      </w:tr>
      <w:tr>
        <w:trPr>
          <w:trHeight w:val="99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85"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sz w:val="20"/>
                <w:szCs w:val="20"/>
              </w:rPr>
              <w:t>10. Реквизиты и подписи Сторон</w:t>
            </w:r>
          </w:p>
        </w:tc>
      </w:tr>
      <w:tr>
        <w:trPr>
          <w:trHeight w:val="285" w:hRule="exact"/>
        </w:trPr>
        <w:tc>
          <w:tcPr>
            <w:tcW w:w="4724" w:type="dxa"/>
            <w:gridSpan w:val="5"/>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sz w:val="20"/>
                <w:szCs w:val="20"/>
              </w:rPr>
              <w:t>Продавец:</w:t>
            </w:r>
          </w:p>
        </w:tc>
        <w:tc>
          <w:tcPr>
            <w:tcW w:w="5669" w:type="dxa"/>
            <w:gridSpan w:val="6"/>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sz w:val="20"/>
                <w:szCs w:val="20"/>
              </w:rPr>
              <w:t>Покупатель:</w:t>
            </w:r>
          </w:p>
        </w:tc>
      </w:tr>
      <w:tr>
        <w:trPr>
          <w:trHeight w:val="285" w:hRule="exact"/>
        </w:trPr>
        <w:tc>
          <w:tcPr>
            <w:tcW w:w="4724" w:type="dxa"/>
            <w:gridSpan w:val="5"/>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sz w:val="20"/>
                <w:szCs w:val="20"/>
              </w:rPr>
              <w:t>Гражданин РФ</w:t>
            </w:r>
          </w:p>
        </w:tc>
        <w:tc>
          <w:tcPr>
            <w:tcW w:w="5669" w:type="dxa"/>
            <w:gridSpan w:val="6"/>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sz w:val="20"/>
                <w:szCs w:val="20"/>
              </w:rPr>
              <w:t>Гражданин РФ</w:t>
            </w:r>
          </w:p>
        </w:tc>
      </w:tr>
      <w:tr>
        <w:trPr>
          <w:trHeight w:val="2175" w:hRule="exact"/>
        </w:trPr>
        <w:tc>
          <w:tcPr>
            <w:tcW w:w="4724" w:type="dxa"/>
            <w:gridSpan w:val="5"/>
            <w:tcBorders/>
            <w:shd w:color="FFFFFF" w:fill="auto" w:val="clear"/>
            <w:vAlign w:val="bottom"/>
          </w:tcPr>
          <w:p>
            <w:pPr>
              <w:pStyle w:val="Normal"/>
              <w:bidi w:val="0"/>
              <w:spacing w:lineRule="auto" w:line="240" w:before="0" w:after="0"/>
              <w:jc w:val="both"/>
              <w:rPr>
                <w:rFonts w:ascii="Times New Roman" w:hAnsi="Times New Roman"/>
                <w:b/>
                <w:b/>
                <w:sz w:val="20"/>
                <w:szCs w:val="20"/>
              </w:rPr>
            </w:pPr>
            <w:r>
              <w:rPr>
                <w:rFonts w:ascii="Times New Roman" w:hAnsi="Times New Roman"/>
                <w:b/>
                <w:sz w:val="20"/>
                <w:szCs w:val="20"/>
              </w:rPr>
              <w:t>Евсеева Ольга Леонидовна (Асанова Ольга Леонидовна) (19.03.1976г.р., место рожд: д. Удмурт-Китяк Малмыжский район Кировская область РСФСР, адрес рег: 612928, Кировская обл, Малмыжский р-н, Новая Смаиль с, Коммунальная ул, дом № 10, квартира 2, СНИЛС06284857696, ИНН 431700611536, паспорт РФ серия 3321, номер 685825, выдан 31.03.2021, кем выдан УМВД России по Кировской области, код подразделения 430-017)</w:t>
            </w:r>
          </w:p>
        </w:tc>
        <w:tc>
          <w:tcPr>
            <w:tcW w:w="5669" w:type="dxa"/>
            <w:gridSpan w:val="6"/>
            <w:vMerge w:val="restart"/>
            <w:tcBorders/>
            <w:shd w:color="FFFFFF" w:fill="auto" w:val="clear"/>
          </w:tcPr>
          <w:p>
            <w:pPr>
              <w:pStyle w:val="Normal"/>
              <w:bidi w:val="0"/>
              <w:spacing w:lineRule="auto" w:line="240" w:before="0" w:after="0"/>
              <w:jc w:val="both"/>
              <w:rPr>
                <w:rFonts w:ascii="Times New Roman" w:hAnsi="Times New Roman"/>
                <w:b/>
                <w:b/>
                <w:sz w:val="20"/>
                <w:szCs w:val="20"/>
              </w:rPr>
            </w:pPr>
            <w:r>
              <w:rPr>
                <w:rFonts w:ascii="Times New Roman" w:hAnsi="Times New Roman"/>
                <w:b/>
                <w:sz w:val="20"/>
                <w:szCs w:val="20"/>
              </w:rPr>
            </w:r>
          </w:p>
        </w:tc>
      </w:tr>
      <w:tr>
        <w:trPr>
          <w:trHeight w:val="300" w:hRule="exact"/>
        </w:trPr>
        <w:tc>
          <w:tcPr>
            <w:tcW w:w="4724" w:type="dxa"/>
            <w:gridSpan w:val="5"/>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Реквизиты</w:t>
            </w:r>
          </w:p>
        </w:tc>
        <w:tc>
          <w:tcPr>
            <w:tcW w:w="5669" w:type="dxa"/>
            <w:gridSpan w:val="6"/>
            <w:vMerge w:val="continue"/>
            <w:tcBorders/>
            <w:shd w:color="FFFFFF" w:fill="auto" w:val="clear"/>
          </w:tcPr>
          <w:p>
            <w:pPr>
              <w:pStyle w:val="Normal"/>
              <w:bidi w:val="0"/>
              <w:spacing w:lineRule="auto" w:line="240" w:before="0" w:after="0"/>
              <w:jc w:val="both"/>
              <w:rPr>
                <w:rFonts w:ascii="Times New Roman" w:hAnsi="Times New Roman"/>
                <w:b/>
                <w:b/>
                <w:sz w:val="20"/>
                <w:szCs w:val="20"/>
              </w:rPr>
            </w:pPr>
            <w:r>
              <w:rPr>
                <w:rFonts w:ascii="Times New Roman" w:hAnsi="Times New Roman"/>
                <w:b/>
                <w:sz w:val="20"/>
                <w:szCs w:val="20"/>
              </w:rPr>
            </w:r>
          </w:p>
        </w:tc>
      </w:tr>
      <w:tr>
        <w:trPr>
          <w:trHeight w:val="495" w:hRule="exact"/>
        </w:trPr>
        <w:tc>
          <w:tcPr>
            <w:tcW w:w="4724" w:type="dxa"/>
            <w:gridSpan w:val="5"/>
            <w:tcBorders/>
            <w:shd w:color="FFFFFF" w:fill="auto" w:val="clear"/>
            <w:vAlign w:val="bottom"/>
          </w:tcPr>
          <w:p>
            <w:pPr>
              <w:pStyle w:val="Normal"/>
              <w:bidi w:val="0"/>
              <w:spacing w:lineRule="auto" w:line="240" w:before="0" w:after="0"/>
              <w:jc w:val="left"/>
              <w:rPr>
                <w:rFonts w:ascii="Times New Roman" w:hAnsi="Times New Roman"/>
                <w:sz w:val="20"/>
                <w:szCs w:val="20"/>
              </w:rPr>
            </w:pPr>
            <w:r>
              <w:rPr>
                <w:rFonts w:ascii="Times New Roman" w:hAnsi="Times New Roman"/>
                <w:sz w:val="20"/>
                <w:szCs w:val="20"/>
              </w:rPr>
              <w:t>Арбитражный управляющий Черных Анастасия Владимировна (ИНН 741855182997)</w:t>
            </w:r>
          </w:p>
        </w:tc>
        <w:tc>
          <w:tcPr>
            <w:tcW w:w="5669" w:type="dxa"/>
            <w:gridSpan w:val="6"/>
            <w:vMerge w:val="continue"/>
            <w:tcBorders/>
            <w:shd w:color="FFFFFF" w:fill="auto" w:val="clear"/>
          </w:tcPr>
          <w:p>
            <w:pPr>
              <w:pStyle w:val="Normal"/>
              <w:bidi w:val="0"/>
              <w:spacing w:lineRule="auto" w:line="240" w:before="0" w:after="0"/>
              <w:jc w:val="both"/>
              <w:rPr>
                <w:rFonts w:ascii="Times New Roman" w:hAnsi="Times New Roman"/>
                <w:b/>
                <w:b/>
                <w:sz w:val="20"/>
                <w:szCs w:val="20"/>
              </w:rPr>
            </w:pPr>
            <w:r>
              <w:rPr>
                <w:rFonts w:ascii="Times New Roman" w:hAnsi="Times New Roman"/>
                <w:b/>
                <w:sz w:val="20"/>
                <w:szCs w:val="20"/>
              </w:rPr>
            </w:r>
          </w:p>
        </w:tc>
      </w:tr>
      <w:tr>
        <w:trPr>
          <w:trHeight w:val="1215" w:hRule="exact"/>
        </w:trPr>
        <w:tc>
          <w:tcPr>
            <w:tcW w:w="4724" w:type="dxa"/>
            <w:gridSpan w:val="5"/>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Р/СЧ 40802810272000080172</w:t>
              <w:br/>
              <w:t>БИК 047501602</w:t>
              <w:br/>
              <w:t>КР/СЧ 30101810700000000602</w:t>
              <w:br/>
              <w:t>НАИМЕНОВАНИЕ БАНКА ЧЕЛЯБИНСКОЕ ОСБ N 8597</w:t>
            </w:r>
          </w:p>
        </w:tc>
        <w:tc>
          <w:tcPr>
            <w:tcW w:w="5669" w:type="dxa"/>
            <w:gridSpan w:val="6"/>
            <w:vMerge w:val="continue"/>
            <w:tcBorders/>
            <w:shd w:color="FFFFFF" w:fill="auto" w:val="clear"/>
          </w:tcPr>
          <w:p>
            <w:pPr>
              <w:pStyle w:val="Normal"/>
              <w:bidi w:val="0"/>
              <w:spacing w:lineRule="auto" w:line="240" w:before="0" w:after="0"/>
              <w:jc w:val="both"/>
              <w:rPr>
                <w:rFonts w:ascii="Times New Roman" w:hAnsi="Times New Roman"/>
                <w:b/>
                <w:b/>
                <w:sz w:val="20"/>
                <w:szCs w:val="20"/>
              </w:rPr>
            </w:pPr>
            <w:r>
              <w:rPr>
                <w:rFonts w:ascii="Times New Roman" w:hAnsi="Times New Roman"/>
                <w:b/>
                <w:sz w:val="20"/>
                <w:szCs w:val="20"/>
              </w:rPr>
            </w:r>
          </w:p>
        </w:tc>
      </w:tr>
      <w:tr>
        <w:trPr>
          <w:trHeight w:val="300" w:hRule="exact"/>
        </w:trPr>
        <w:tc>
          <w:tcPr>
            <w:tcW w:w="944"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5669" w:type="dxa"/>
            <w:gridSpan w:val="6"/>
            <w:vMerge w:val="continue"/>
            <w:tcBorders/>
            <w:shd w:color="FFFFFF" w:fill="auto" w:val="clear"/>
          </w:tcPr>
          <w:p>
            <w:pPr>
              <w:pStyle w:val="Normal"/>
              <w:bidi w:val="0"/>
              <w:spacing w:lineRule="auto" w:line="240" w:before="0" w:after="0"/>
              <w:jc w:val="both"/>
              <w:rPr>
                <w:rFonts w:ascii="Times New Roman" w:hAnsi="Times New Roman"/>
                <w:b/>
                <w:b/>
                <w:sz w:val="20"/>
                <w:szCs w:val="20"/>
              </w:rPr>
            </w:pPr>
            <w:r>
              <w:rPr>
                <w:rFonts w:ascii="Times New Roman" w:hAnsi="Times New Roman"/>
                <w:b/>
                <w:sz w:val="20"/>
                <w:szCs w:val="20"/>
              </w:rPr>
            </w:r>
          </w:p>
        </w:tc>
      </w:tr>
      <w:tr>
        <w:trPr>
          <w:trHeight w:val="300" w:hRule="exact"/>
        </w:trPr>
        <w:tc>
          <w:tcPr>
            <w:tcW w:w="944"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5669" w:type="dxa"/>
            <w:gridSpan w:val="6"/>
            <w:vMerge w:val="continue"/>
            <w:tcBorders/>
            <w:shd w:color="FFFFFF" w:fill="auto" w:val="clear"/>
          </w:tcPr>
          <w:p>
            <w:pPr>
              <w:pStyle w:val="Normal"/>
              <w:bidi w:val="0"/>
              <w:spacing w:lineRule="auto" w:line="240" w:before="0" w:after="0"/>
              <w:jc w:val="both"/>
              <w:rPr>
                <w:rFonts w:ascii="Times New Roman" w:hAnsi="Times New Roman"/>
                <w:b/>
                <w:b/>
                <w:sz w:val="20"/>
                <w:szCs w:val="20"/>
              </w:rPr>
            </w:pPr>
            <w:r>
              <w:rPr>
                <w:rFonts w:ascii="Times New Roman" w:hAnsi="Times New Roman"/>
                <w:b/>
                <w:sz w:val="20"/>
                <w:szCs w:val="20"/>
              </w:rPr>
            </w:r>
          </w:p>
        </w:tc>
      </w:tr>
      <w:tr>
        <w:trPr>
          <w:trHeight w:val="300" w:hRule="exact"/>
        </w:trPr>
        <w:tc>
          <w:tcPr>
            <w:tcW w:w="4724" w:type="dxa"/>
            <w:gridSpan w:val="5"/>
            <w:tcBorders/>
            <w:shd w:color="FFFFFF" w:fill="auto" w:val="clear"/>
            <w:vAlign w:val="bottom"/>
          </w:tcPr>
          <w:p>
            <w:pPr>
              <w:pStyle w:val="Normal"/>
              <w:bidi w:val="0"/>
              <w:spacing w:lineRule="auto" w:line="240" w:before="0" w:after="0"/>
              <w:jc w:val="both"/>
              <w:rPr>
                <w:rFonts w:ascii="Times New Roman" w:hAnsi="Times New Roman"/>
                <w:b/>
                <w:b/>
                <w:sz w:val="20"/>
                <w:szCs w:val="20"/>
              </w:rPr>
            </w:pPr>
            <w:r>
              <w:rPr>
                <w:rFonts w:ascii="Times New Roman" w:hAnsi="Times New Roman"/>
                <w:b/>
                <w:sz w:val="20"/>
                <w:szCs w:val="20"/>
              </w:rPr>
              <w:t>Финансовый управляющий</w:t>
            </w:r>
          </w:p>
        </w:tc>
        <w:tc>
          <w:tcPr>
            <w:tcW w:w="946"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3"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r>
      <w:tr>
        <w:trPr>
          <w:trHeight w:val="300" w:hRule="exact"/>
        </w:trPr>
        <w:tc>
          <w:tcPr>
            <w:tcW w:w="4724" w:type="dxa"/>
            <w:gridSpan w:val="5"/>
            <w:tcBorders/>
            <w:shd w:color="FFFFFF" w:fill="auto" w:val="clear"/>
            <w:vAlign w:val="bottom"/>
          </w:tcPr>
          <w:p>
            <w:pPr>
              <w:pStyle w:val="Normal"/>
              <w:bidi w:val="0"/>
              <w:spacing w:lineRule="auto" w:line="240" w:before="0" w:after="0"/>
              <w:jc w:val="both"/>
              <w:rPr>
                <w:rFonts w:ascii="Times New Roman" w:hAnsi="Times New Roman"/>
                <w:b/>
                <w:b/>
                <w:sz w:val="20"/>
                <w:szCs w:val="20"/>
              </w:rPr>
            </w:pPr>
            <w:r>
              <w:rPr>
                <w:rFonts w:ascii="Times New Roman" w:hAnsi="Times New Roman"/>
                <w:b/>
                <w:sz w:val="20"/>
                <w:szCs w:val="20"/>
              </w:rPr>
              <w:t>Евсеевой Ольги Леонидовны</w:t>
            </w:r>
          </w:p>
        </w:tc>
        <w:tc>
          <w:tcPr>
            <w:tcW w:w="946"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3"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r>
      <w:tr>
        <w:trPr>
          <w:trHeight w:val="300" w:hRule="exact"/>
        </w:trPr>
        <w:tc>
          <w:tcPr>
            <w:tcW w:w="944" w:type="dxa"/>
            <w:tcBorders/>
            <w:shd w:color="FFFFFF" w:fill="auto" w:val="clear"/>
            <w:vAlign w:val="bottom"/>
          </w:tcPr>
          <w:p>
            <w:pPr>
              <w:pStyle w:val="Normal"/>
              <w:bidi w:val="0"/>
              <w:spacing w:lineRule="auto" w:line="240" w:before="0" w:after="0"/>
              <w:jc w:val="both"/>
              <w:rPr>
                <w:rFonts w:ascii="Times New Roman" w:hAnsi="Times New Roman"/>
                <w:b/>
                <w:b/>
                <w:sz w:val="20"/>
                <w:szCs w:val="20"/>
              </w:rPr>
            </w:pPr>
            <w:r>
              <w:rPr>
                <w:rFonts w:ascii="Times New Roman" w:hAnsi="Times New Roman"/>
                <w:b/>
                <w:sz w:val="20"/>
                <w:szCs w:val="20"/>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6"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3"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r>
      <w:tr>
        <w:trPr>
          <w:trHeight w:val="360" w:hRule="exact"/>
        </w:trPr>
        <w:tc>
          <w:tcPr>
            <w:tcW w:w="2834" w:type="dxa"/>
            <w:gridSpan w:val="3"/>
            <w:tcBorders/>
            <w:shd w:color="FFFFFF" w:fill="auto" w:val="clear"/>
            <w:vAlign w:val="bottom"/>
          </w:tcPr>
          <w:p>
            <w:pPr>
              <w:pStyle w:val="Normal"/>
              <w:bidi w:val="0"/>
              <w:spacing w:lineRule="auto" w:line="240" w:before="0" w:after="0"/>
              <w:jc w:val="both"/>
              <w:rPr>
                <w:rFonts w:ascii="Times New Roman" w:hAnsi="Times New Roman"/>
                <w:b/>
                <w:b/>
                <w:sz w:val="20"/>
                <w:szCs w:val="20"/>
              </w:rPr>
            </w:pPr>
            <w:r>
              <w:rPr>
                <w:rFonts w:ascii="Times New Roman" w:hAnsi="Times New Roman"/>
                <w:b/>
                <w:sz w:val="20"/>
                <w:szCs w:val="20"/>
              </w:rPr>
              <w:t>Черных Анастасия Владимировна</w:t>
            </w:r>
          </w:p>
        </w:tc>
        <w:tc>
          <w:tcPr>
            <w:tcW w:w="1890" w:type="dxa"/>
            <w:gridSpan w:val="2"/>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t>______________</w:t>
            </w:r>
          </w:p>
        </w:tc>
        <w:tc>
          <w:tcPr>
            <w:tcW w:w="5669" w:type="dxa"/>
            <w:gridSpan w:val="6"/>
            <w:tcBorders/>
            <w:shd w:color="FFFFFF" w:fill="auto" w:val="clear"/>
            <w:vAlign w:val="bottom"/>
          </w:tcPr>
          <w:p>
            <w:pPr>
              <w:pStyle w:val="Normal"/>
              <w:bidi w:val="0"/>
              <w:spacing w:lineRule="auto" w:line="240" w:before="0" w:after="0"/>
              <w:jc w:val="both"/>
              <w:rPr>
                <w:rFonts w:ascii="Times New Roman" w:hAnsi="Times New Roman"/>
                <w:b/>
                <w:b/>
                <w:sz w:val="20"/>
                <w:szCs w:val="20"/>
              </w:rPr>
            </w:pPr>
            <w:r>
              <w:rPr>
                <w:rFonts w:ascii="Arial" w:hAnsi="Arial"/>
                <w:sz w:val="16"/>
              </w:rPr>
            </w:r>
          </w:p>
        </w:tc>
      </w:tr>
    </w:tbl>
    <w:sectPr>
      <w:type w:val="nextPage"/>
      <w:pgSz w:w="11906" w:h="16838"/>
      <w:pgMar w:left="567" w:right="567" w:header="0" w:top="567" w:footer="0" w:bottom="567" w:gutter="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Liberation Sans">
    <w:altName w:val="Arial"/>
    <w:charset w:val="cc"/>
    <w:family w:val="swiss"/>
    <w:pitch w:val="variable"/>
  </w:font>
  <w:font w:name="Times New Roman">
    <w:charset w:val="cc"/>
    <w:family w:val="roman"/>
    <w:pitch w:val="variable"/>
  </w:font>
  <w:font w:name="Arial">
    <w:charset w:val="cc"/>
    <w:family w:val="roman"/>
    <w:pitch w:val="variable"/>
  </w:font>
</w:fonts>
</file>

<file path=word/settings.xml><?xml version="1.0" encoding="utf-8"?>
<w:settings xmlns:w="http://schemas.openxmlformats.org/wordprocessingml/2006/main">
  <w:zoom w:percent="100"/>
  <w:defaultTabStop w:val="720"/>
  <w:autoHyphenation w:val="tru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NSimSun" w:cs="Arial"/>
        <w:kern w:val="2"/>
        <w:sz w:val="22"/>
        <w:szCs w:val="24"/>
        <w:lang w:val="ru-RU" w:eastAsia="zh-CN" w:bidi="hi-IN"/>
      </w:rPr>
    </w:rPrDefault>
    <w:pPrDefault>
      <w:pPr>
        <w:suppressAutoHyphens w:val="true"/>
      </w:pPr>
    </w:pPrDefault>
  </w:docDefaults>
  <w:style w:type="paragraph" w:styleId="Normal">
    <w:name w:val="Normal"/>
    <w:qFormat/>
    <w:pPr>
      <w:widowControl w:val="false"/>
      <w:bidi w:val="0"/>
    </w:pPr>
    <w:rPr>
      <w:rFonts w:ascii="Calibri" w:hAnsi="Calibri" w:eastAsia="NSimSun" w:cs="Arial"/>
      <w:color w:val="auto"/>
      <w:kern w:val="2"/>
      <w:sz w:val="22"/>
      <w:szCs w:val="24"/>
      <w:lang w:val="ru-RU" w:eastAsia="zh-CN" w:bidi="hi-IN"/>
    </w:rPr>
  </w:style>
  <w:style w:type="paragraph" w:styleId="Style14">
    <w:name w:val="Заголовок"/>
    <w:basedOn w:val="Normal"/>
    <w:next w:val="Style15"/>
    <w:qFormat/>
    <w:pPr>
      <w:keepNext w:val="true"/>
      <w:spacing w:before="240" w:after="120"/>
    </w:pPr>
    <w:rPr>
      <w:rFonts w:ascii="Liberation Sans" w:hAnsi="Liberation Sans" w:eastAsia="Microsoft YaHei" w:cs="Arial"/>
      <w:sz w:val="28"/>
      <w:szCs w:val="28"/>
    </w:rPr>
  </w:style>
  <w:style w:type="paragraph" w:styleId="Style15">
    <w:name w:val="Body Text"/>
    <w:basedOn w:val="Normal"/>
    <w:pPr>
      <w:spacing w:lineRule="auto" w:line="276" w:before="0" w:after="140"/>
    </w:pPr>
    <w:rPr/>
  </w:style>
  <w:style w:type="paragraph" w:styleId="Style16">
    <w:name w:val="List"/>
    <w:basedOn w:val="Style15"/>
    <w:pPr/>
    <w:rPr>
      <w:rFonts w:cs="Arial"/>
    </w:rPr>
  </w:style>
  <w:style w:type="paragraph" w:styleId="Style17">
    <w:name w:val="Caption"/>
    <w:basedOn w:val="Normal"/>
    <w:qFormat/>
    <w:pPr>
      <w:suppressLineNumbers/>
      <w:spacing w:before="120" w:after="120"/>
    </w:pPr>
    <w:rPr>
      <w:rFonts w:cs="Arial"/>
      <w:i/>
      <w:iCs/>
      <w:sz w:val="24"/>
      <w:szCs w:val="24"/>
    </w:rPr>
  </w:style>
  <w:style w:type="paragraph" w:styleId="Style18">
    <w:name w:val="Указатель"/>
    <w:basedOn w:val="Normal"/>
    <w:qFormat/>
    <w:pPr>
      <w:suppressLineNumbers/>
    </w:pPr>
    <w:rPr>
      <w:rFonts w:cs="Arial"/>
    </w:rPr>
  </w:style>
  <w:style w:type="table" w:styleId="TableStyle0">
    <w:name w:val="TableStyle0"/>
    <w:pPr>
      <w:spacing w:after="0" w:line="240" w:lineRule="auto"/>
    </w:pPr>
    <w:rPr>
      <w:sz w:val="16"/>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LibreOffice/6.4.2.2$Windows_X86_64 LibreOffice_project/4e471d8c02c9c90f512f7f9ead8875b57fcb1ec3</Application>
  <Pages>3</Pages>
  <Words>1095</Words>
  <Characters>7832</Characters>
  <CharactersWithSpaces>9371</CharactersWithSpaces>
  <Paragraphs>61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dcterms:modified xsi:type="dcterms:W3CDTF">2024-01-31T12:56:28Z</dcterms:modified>
  <cp:revision>1</cp:revision>
  <dc:subject/>
  <dc:title/>
</cp:coreProperties>
</file>