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DD" w:rsidRDefault="00F45119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CE7BDD" w:rsidRDefault="00F45119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имущества, </w:t>
      </w:r>
    </w:p>
    <w:p w:rsidR="00CE7BDD" w:rsidRDefault="00F45119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CE7BDD" w:rsidRDefault="00F45119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CE7BDD" w:rsidRDefault="00F45119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18 марта 2024 г. с 11:00 </w:t>
      </w:r>
    </w:p>
    <w:p w:rsidR="00CE7BDD" w:rsidRDefault="00F45119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CE7BDD" w:rsidRDefault="00F45119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CE7BDD" w:rsidRDefault="00F45119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CE7BDD" w:rsidRDefault="00F45119">
      <w:pPr>
        <w:ind w:left="1130" w:firstLine="0"/>
      </w:pPr>
      <w:r>
        <w:t xml:space="preserve">Прием заявок осуществляется </w:t>
      </w:r>
      <w:r w:rsidR="003E46FE">
        <w:rPr>
          <w:shd w:val="clear" w:color="auto" w:fill="FFFFFF"/>
        </w:rPr>
        <w:t>с 15:00:00 05</w:t>
      </w:r>
      <w:bookmarkStart w:id="0" w:name="_GoBack"/>
      <w:bookmarkEnd w:id="0"/>
      <w:r>
        <w:rPr>
          <w:shd w:val="clear" w:color="auto" w:fill="FFFFFF"/>
        </w:rPr>
        <w:t xml:space="preserve"> февраля 2024 г. </w:t>
      </w:r>
      <w:r>
        <w:t xml:space="preserve">по 15 марта 2024 г. до 14:00:00 </w:t>
      </w:r>
    </w:p>
    <w:p w:rsidR="00CE7BDD" w:rsidRDefault="00F45119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CE7BDD" w:rsidRDefault="00F45119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CE7BDD" w:rsidRDefault="00F45119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15 марта 2024 г. 14:00. </w:t>
      </w:r>
    </w:p>
    <w:p w:rsidR="00CE7BDD" w:rsidRDefault="00F45119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15 марта 2024 г. в 15:00. </w:t>
      </w:r>
    </w:p>
    <w:p w:rsidR="00CE7BDD" w:rsidRDefault="00F45119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CE7BDD" w:rsidRDefault="00F45119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CE7BDD" w:rsidRDefault="00F45119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CE7BDD" w:rsidRDefault="00F45119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CE7BDD" w:rsidRDefault="00F45119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CE7BDD" w:rsidRDefault="00F45119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CE7BDD" w:rsidRDefault="00F45119">
      <w:pPr>
        <w:ind w:left="0" w:right="60" w:firstLine="0"/>
        <w:rPr>
          <w:b/>
          <w:szCs w:val="24"/>
        </w:rPr>
      </w:pPr>
      <w:r>
        <w:rPr>
          <w:b/>
          <w:szCs w:val="24"/>
        </w:rPr>
        <w:t>Объект продажи (Объект, Лот):</w:t>
      </w:r>
    </w:p>
    <w:p w:rsidR="00CE7BDD" w:rsidRDefault="00F45119">
      <w:pPr>
        <w:ind w:left="0" w:right="60" w:firstLine="0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</w:p>
    <w:p w:rsidR="00CE7BDD" w:rsidRDefault="00F4511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Земельный участок общей площадью 2733 +/- 18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., кадастровый № 78:13:0007305:24, категория земель: земли населенных пунктов, виды разрешенного использования: для размещения многоквартирного жилого дома (жилых домов), расположенный по адресу: г. Санкт-Петербург, Боровая улица, дом 45, литера А.</w:t>
      </w:r>
    </w:p>
    <w:p w:rsidR="00CE7BDD" w:rsidRDefault="00F4511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>Обременения (ограничения) в отношении Объекта в соответствии с выпиской из ЕГРН от 05.02.2024:</w:t>
      </w:r>
    </w:p>
    <w:p w:rsidR="00CE7BDD" w:rsidRDefault="00F4511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>2733 м2 Объединенная зона регулирования застройки центральных районов Санкт-Петербурга;</w:t>
      </w:r>
    </w:p>
    <w:p w:rsidR="00CE7BDD" w:rsidRDefault="00F4511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>198 м2 Охранная зона кабельных линий электропередачи;</w:t>
      </w:r>
    </w:p>
    <w:p w:rsidR="00CE7BDD" w:rsidRDefault="00F4511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320 м2 </w:t>
      </w:r>
      <w:proofErr w:type="spellStart"/>
      <w:r>
        <w:rPr>
          <w:color w:val="auto"/>
          <w:szCs w:val="24"/>
        </w:rPr>
        <w:t>Водоохранная</w:t>
      </w:r>
      <w:proofErr w:type="spellEnd"/>
      <w:r>
        <w:rPr>
          <w:color w:val="auto"/>
          <w:szCs w:val="24"/>
        </w:rPr>
        <w:t xml:space="preserve"> зона водного объекта;</w:t>
      </w:r>
    </w:p>
    <w:p w:rsidR="00CE7BDD" w:rsidRDefault="00F4511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288 м2 ограничения прав на земельный участок, предусмотренные статьей 56 </w:t>
      </w:r>
      <w:proofErr w:type="gramStart"/>
      <w:r>
        <w:rPr>
          <w:color w:val="auto"/>
          <w:szCs w:val="24"/>
        </w:rPr>
        <w:t>Земель-</w:t>
      </w:r>
      <w:proofErr w:type="spellStart"/>
      <w:r>
        <w:rPr>
          <w:color w:val="auto"/>
          <w:szCs w:val="24"/>
        </w:rPr>
        <w:t>ного</w:t>
      </w:r>
      <w:proofErr w:type="spellEnd"/>
      <w:proofErr w:type="gramEnd"/>
      <w:r>
        <w:rPr>
          <w:color w:val="auto"/>
          <w:szCs w:val="24"/>
        </w:rPr>
        <w:t xml:space="preserve"> кодекса Российской Федерации, в соответствии со статьей 65 Водного кодекса Россий-</w:t>
      </w:r>
      <w:proofErr w:type="spellStart"/>
      <w:r>
        <w:rPr>
          <w:color w:val="auto"/>
          <w:szCs w:val="24"/>
        </w:rPr>
        <w:t>ской</w:t>
      </w:r>
      <w:proofErr w:type="spellEnd"/>
      <w:r>
        <w:rPr>
          <w:color w:val="auto"/>
          <w:szCs w:val="24"/>
        </w:rPr>
        <w:t xml:space="preserve"> Федерации от 03.06.2006г. №74-ФЗ; Реестровый номер границы: 78.00.2.166;</w:t>
      </w:r>
    </w:p>
    <w:p w:rsidR="00CE7BDD" w:rsidRDefault="00F4511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288 м2 </w:t>
      </w:r>
      <w:proofErr w:type="spellStart"/>
      <w:r>
        <w:rPr>
          <w:color w:val="auto"/>
          <w:szCs w:val="24"/>
        </w:rPr>
        <w:t>Водоохранная</w:t>
      </w:r>
      <w:proofErr w:type="spellEnd"/>
      <w:r>
        <w:rPr>
          <w:color w:val="auto"/>
          <w:szCs w:val="24"/>
        </w:rPr>
        <w:t xml:space="preserve"> зона Обводного канала (ИД 1243); </w:t>
      </w:r>
    </w:p>
    <w:p w:rsidR="00CE7BDD" w:rsidRDefault="00F4511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>288 м2 Прибрежная защитная полоса Обводного канала (ИД 1243);</w:t>
      </w:r>
    </w:p>
    <w:p w:rsidR="00CE7BDD" w:rsidRDefault="00F4511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127 м2 Охранная зона объекта электросетевого хозяйства – К-138/К-150/ТЭЦ-1 Боровая ул. - Обводный канал ПС-542/; </w:t>
      </w:r>
    </w:p>
    <w:p w:rsidR="00CE7BDD" w:rsidRDefault="00F4511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>128 м2 Охранная зона объекта электросетевого хозяйства – К-139/К-151/ТЭЦ-1 Боровая ул. - Обводный канал ПС-542/;</w:t>
      </w:r>
    </w:p>
    <w:p w:rsidR="00CE7BDD" w:rsidRDefault="00F4511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>Прочие ограничения прав и обременения объекта недвижимости, дата государственной регистрации: 07.03.2008, номер государственной регистрации: 78-78-01/0127/2008-337, основание государственной регистрации: Кадастровый план земельного участка, выдан 17.10.2007;</w:t>
      </w:r>
    </w:p>
    <w:p w:rsidR="00CE7BDD" w:rsidRDefault="00F4511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lastRenderedPageBreak/>
        <w:tab/>
        <w:t>Прочие ограничения прав и обременения объекта недвижимости, дата государственной регистрации: 07.03.2008, номер государственной регистрации: 78-78-01/0127/2008-333, основание государственной регистрации: Кадастровый план земельного участка, выдан 17.10.2007;</w:t>
      </w:r>
    </w:p>
    <w:p w:rsidR="00CE7BDD" w:rsidRDefault="00F45119">
      <w:pPr>
        <w:ind w:left="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>Прочие ограничения прав и обременения объекта недвижимости, дата государственной регистрации: 07.03.2008, номер государственной регистрации: 78-78-01/0127/2008-445, основание государственной регистрации: Кадастровый план земельного участка, выдан 17.10.2007.</w:t>
      </w:r>
    </w:p>
    <w:p w:rsidR="00CE7BDD" w:rsidRDefault="00F45119">
      <w:pPr>
        <w:ind w:left="0" w:right="60" w:firstLine="0"/>
      </w:pPr>
      <w:r>
        <w:tab/>
        <w:t>Объект подлежит продаже только с одновременной продажей проектной документации в следующем составе:</w:t>
      </w:r>
    </w:p>
    <w:p w:rsidR="00CE7BDD" w:rsidRDefault="00F45119">
      <w:pPr>
        <w:ind w:left="0" w:right="60" w:firstLine="0"/>
      </w:pPr>
      <w:r>
        <w:tab/>
        <w:t>- Градостроительный план земельного участка №RU 7811300034696;</w:t>
      </w:r>
    </w:p>
    <w:p w:rsidR="00CE7BDD" w:rsidRDefault="00F45119">
      <w:pPr>
        <w:ind w:left="0" w:right="60" w:firstLine="0"/>
      </w:pPr>
      <w:r>
        <w:tab/>
        <w:t>- Согласование КГИОП №01-24-1653/22-0-0 от 18.07.2022 года;</w:t>
      </w:r>
    </w:p>
    <w:p w:rsidR="00CE7BDD" w:rsidRDefault="00F45119">
      <w:pPr>
        <w:ind w:left="0" w:right="60" w:firstLine="0"/>
      </w:pPr>
      <w:r>
        <w:tab/>
        <w:t xml:space="preserve">- Заключение о согласовании архитектурно-градостроительного облика объекта в сфере жилищного строительства/в сфере строительства объектов капитального строительства нежилого фонда №01-47-5-26520/22 от 27.07.2022 года;  </w:t>
      </w:r>
    </w:p>
    <w:p w:rsidR="00CE7BDD" w:rsidRDefault="00F45119">
      <w:pPr>
        <w:ind w:left="0" w:right="60" w:firstLine="0"/>
      </w:pPr>
      <w:r>
        <w:tab/>
        <w:t>- Проектная документация и результаты инженерных изысканий Здания делового управления со служебным этажом;</w:t>
      </w:r>
    </w:p>
    <w:p w:rsidR="00CE7BDD" w:rsidRDefault="00F45119">
      <w:pPr>
        <w:ind w:left="0" w:right="60" w:firstLine="0"/>
      </w:pPr>
      <w:r>
        <w:tab/>
        <w:t>- Положительное заключение негосударственной экспертизы №78-2-1-3-040169-2022 от 22.06.2022;</w:t>
      </w:r>
    </w:p>
    <w:p w:rsidR="00CE7BDD" w:rsidRDefault="00F45119">
      <w:pPr>
        <w:ind w:left="0" w:right="60" w:firstLine="0"/>
      </w:pPr>
      <w:r>
        <w:tab/>
        <w:t>- Разрешение на строительство №78-017-0266-2022 от 05.08.2022 г. (далее – проектная документация).</w:t>
      </w:r>
    </w:p>
    <w:p w:rsidR="00CE7BDD" w:rsidRDefault="00CE7BDD">
      <w:pPr>
        <w:ind w:left="0" w:right="60" w:firstLine="0"/>
      </w:pPr>
    </w:p>
    <w:p w:rsidR="00CE7BDD" w:rsidRDefault="00F45119">
      <w:pPr>
        <w:pStyle w:val="af4"/>
        <w:ind w:left="0" w:right="57" w:firstLine="0"/>
        <w:rPr>
          <w:b/>
          <w:szCs w:val="24"/>
        </w:rPr>
      </w:pPr>
      <w:r>
        <w:rPr>
          <w:b/>
          <w:szCs w:val="24"/>
        </w:rPr>
        <w:tab/>
        <w:t xml:space="preserve">Начальная цена Лота устанавливается в размере 282 000 000 (двести восемьдесят два </w:t>
      </w:r>
      <w:proofErr w:type="gramStart"/>
      <w:r>
        <w:rPr>
          <w:b/>
          <w:szCs w:val="24"/>
        </w:rPr>
        <w:t>миллиона)  рублей</w:t>
      </w:r>
      <w:proofErr w:type="gramEnd"/>
      <w:r>
        <w:rPr>
          <w:b/>
          <w:szCs w:val="24"/>
        </w:rPr>
        <w:t xml:space="preserve"> 00 коп (НДС не облагается)</w:t>
      </w:r>
    </w:p>
    <w:p w:rsidR="00CE7BDD" w:rsidRDefault="00F45119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 xml:space="preserve">Сумма задатка – 25 000 000 (двадцать пять миллионов) рублей 00 коп.   </w:t>
      </w:r>
    </w:p>
    <w:p w:rsidR="00CE7BDD" w:rsidRDefault="00F45119">
      <w:pPr>
        <w:ind w:left="0" w:right="60" w:firstLine="360"/>
        <w:rPr>
          <w:szCs w:val="24"/>
        </w:rPr>
      </w:pPr>
      <w:r>
        <w:rPr>
          <w:b/>
          <w:szCs w:val="24"/>
        </w:rPr>
        <w:tab/>
        <w:t xml:space="preserve">Шаг аукциона – 5 000 000 (пять миллионов) рублей 00 коп. </w:t>
      </w:r>
    </w:p>
    <w:p w:rsidR="00CE7BDD" w:rsidRDefault="00F45119">
      <w:pPr>
        <w:pStyle w:val="af4"/>
        <w:ind w:left="0" w:right="57" w:firstLine="0"/>
        <w:rPr>
          <w:szCs w:val="24"/>
        </w:rPr>
      </w:pPr>
      <w:r>
        <w:rPr>
          <w:b/>
          <w:szCs w:val="24"/>
        </w:rPr>
        <w:tab/>
        <w:t xml:space="preserve">Стоимость проектной документации не входит в стоимость Лота, составляет 18 000 000 (восемнадцать миллионов) рублей, в том числе НДС 20%, является твердой и изменению не подлежит.  </w:t>
      </w:r>
    </w:p>
    <w:p w:rsidR="00CE7BDD" w:rsidRDefault="00CE7BDD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CE7BDD" w:rsidRDefault="00F45119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CE7BDD" w:rsidRDefault="00F45119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CE7BDD" w:rsidRDefault="00F45119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CE7BDD" w:rsidRDefault="00F45119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</w:t>
      </w:r>
      <w:r>
        <w:rPr>
          <w:szCs w:val="24"/>
        </w:rPr>
        <w:lastRenderedPageBreak/>
        <w:t xml:space="preserve">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CE7BDD" w:rsidRDefault="00F45119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CE7BDD" w:rsidRDefault="00F45119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CE7BDD" w:rsidRDefault="00F45119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CE7BDD" w:rsidRDefault="00F45119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CE7BDD" w:rsidRDefault="00F45119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CE7BDD" w:rsidRDefault="00F45119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CE7BDD" w:rsidRDefault="00F4511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CE7BDD" w:rsidRDefault="00F4511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CE7BDD" w:rsidRDefault="00F4511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CE7BDD" w:rsidRDefault="00F4511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CE7BDD" w:rsidRDefault="00F4511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CE7BDD" w:rsidRDefault="00F4511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CE7BDD" w:rsidRDefault="00F45119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CE7BDD" w:rsidRDefault="00F4511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CE7BDD" w:rsidRDefault="00F4511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CE7BDD" w:rsidRDefault="00F45119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CE7BDD" w:rsidRDefault="00F45119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CE7BDD" w:rsidRDefault="00F45119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CE7BDD" w:rsidRDefault="00F45119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14:00 15 марта 2024 г.</w:t>
      </w:r>
      <w:r>
        <w:rPr>
          <w:szCs w:val="24"/>
        </w:rPr>
        <w:t xml:space="preserve">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CE7BDD" w:rsidRDefault="00F45119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служит обеспечением исполнения обязательства победителя аукциона/единственного участника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</w:t>
      </w:r>
      <w:proofErr w:type="gramStart"/>
      <w:r>
        <w:rPr>
          <w:szCs w:val="24"/>
        </w:rPr>
        <w:t>единственным участником</w:t>
      </w:r>
      <w:proofErr w:type="gramEnd"/>
      <w:r>
        <w:rPr>
          <w:szCs w:val="24"/>
        </w:rPr>
        <w:t xml:space="preserve"> засчитывается в сумму платежа по договору купли-продажи Объекта.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CE7BDD" w:rsidRDefault="00F45119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CE7BDD" w:rsidRDefault="00F45119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CE7BDD" w:rsidRDefault="00F45119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CE7BDD" w:rsidRDefault="00F45119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CE7BDD" w:rsidRDefault="00F45119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CE7BDD" w:rsidRDefault="00F45119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CE7BDD" w:rsidRDefault="00CE7BDD">
      <w:pPr>
        <w:spacing w:after="0" w:line="259" w:lineRule="auto"/>
        <w:ind w:left="708" w:right="60" w:firstLine="0"/>
        <w:jc w:val="left"/>
        <w:rPr>
          <w:szCs w:val="24"/>
        </w:rPr>
      </w:pPr>
    </w:p>
    <w:p w:rsidR="00CE7BDD" w:rsidRDefault="00F45119">
      <w:pPr>
        <w:ind w:left="2115" w:right="60" w:firstLine="0"/>
        <w:rPr>
          <w:szCs w:val="24"/>
        </w:rPr>
      </w:pPr>
      <w:r>
        <w:rPr>
          <w:b/>
          <w:szCs w:val="24"/>
        </w:rPr>
        <w:lastRenderedPageBreak/>
        <w:t xml:space="preserve">ПОРЯДОК ПРОВЕДЕНИЯ ЭЛЕКТРОННОГО АУКЦИОНА: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CE7BDD" w:rsidRDefault="00F45119">
      <w:pPr>
        <w:ind w:left="-15" w:right="60" w:firstLine="723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CE7BDD" w:rsidRDefault="00F45119">
      <w:pPr>
        <w:ind w:left="-15" w:right="60" w:firstLine="723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CE7BDD" w:rsidRDefault="00F45119">
      <w:pPr>
        <w:ind w:left="-15" w:right="60" w:firstLine="723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CE7BDD" w:rsidRDefault="00F45119">
      <w:pPr>
        <w:ind w:left="-15" w:right="60" w:firstLine="723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CE7BDD" w:rsidRDefault="00F45119">
      <w:pPr>
        <w:ind w:left="-15" w:right="60" w:firstLine="723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CE7BDD" w:rsidRDefault="00F45119">
      <w:pPr>
        <w:ind w:left="-15" w:right="60" w:firstLine="723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CE7BDD" w:rsidRDefault="00F45119">
      <w:pPr>
        <w:ind w:left="-15" w:right="60" w:firstLine="723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CE7BDD" w:rsidRDefault="00F45119">
      <w:pPr>
        <w:ind w:left="-15" w:right="60" w:firstLine="723"/>
        <w:rPr>
          <w:szCs w:val="24"/>
        </w:rPr>
      </w:pPr>
      <w:r>
        <w:rPr>
          <w:szCs w:val="24"/>
        </w:rPr>
        <w:lastRenderedPageBreak/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CE7BDD" w:rsidRDefault="00F45119">
      <w:pPr>
        <w:ind w:left="-15" w:right="60" w:firstLine="723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CE7BDD" w:rsidRDefault="00F45119">
      <w:pPr>
        <w:ind w:left="-15" w:right="60" w:firstLine="723"/>
        <w:rPr>
          <w:szCs w:val="24"/>
        </w:rPr>
      </w:pPr>
      <w:r>
        <w:rPr>
          <w:szCs w:val="24"/>
        </w:rPr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CE7BDD" w:rsidRDefault="00CE7BDD">
      <w:pPr>
        <w:ind w:left="-15" w:right="60" w:firstLine="0"/>
        <w:rPr>
          <w:szCs w:val="24"/>
        </w:rPr>
      </w:pPr>
    </w:p>
    <w:p w:rsidR="00CE7BDD" w:rsidRDefault="00F45119">
      <w:pPr>
        <w:ind w:left="-15" w:right="60" w:firstLine="36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CE7BDD" w:rsidRDefault="00F45119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CE7BDD" w:rsidRDefault="00F45119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CE7BDD" w:rsidRDefault="00F45119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CE7BDD" w:rsidRDefault="00F45119">
      <w:pPr>
        <w:ind w:left="-15" w:right="60" w:firstLine="36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CE7BDD" w:rsidRDefault="00F45119">
      <w:pPr>
        <w:ind w:left="-15" w:right="60" w:firstLine="360"/>
        <w:rPr>
          <w:szCs w:val="24"/>
        </w:rPr>
      </w:pPr>
      <w:r>
        <w:rPr>
          <w:szCs w:val="24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CE7BDD" w:rsidRDefault="00CE7BDD">
      <w:pPr>
        <w:ind w:left="-15" w:right="60" w:firstLine="0"/>
        <w:rPr>
          <w:szCs w:val="24"/>
        </w:rPr>
      </w:pP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CE7BDD" w:rsidRDefault="00F45119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CE7BDD" w:rsidRDefault="00F45119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CE7BDD" w:rsidRDefault="00F45119">
      <w:pPr>
        <w:ind w:left="-15" w:right="60" w:firstLine="0"/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 xml:space="preserve">Договор купли-продажи Лота заключается между Победителем электронного аукциона (Покупателем) в течение 10 (Десяти) рабочих дней после подведения итогов аукциона (торгов). Оплата цены продажи Лота </w:t>
      </w:r>
      <w:r>
        <w:rPr>
          <w:szCs w:val="24"/>
          <w:shd w:val="clear" w:color="auto" w:fill="FFFFFF"/>
        </w:rPr>
        <w:t xml:space="preserve">за вычетом ранее внесённого задатка </w:t>
      </w:r>
      <w:r>
        <w:t>производится посредством покрытого (депонированного) безотзывного аккредитива в</w:t>
      </w:r>
      <w:r>
        <w:rPr>
          <w:shd w:val="clear" w:color="auto" w:fill="FFFFFF"/>
        </w:rPr>
        <w:t xml:space="preserve"> соответствии с условиями договора купли-продажи Объекта и проектной документации.</w:t>
      </w:r>
      <w:r>
        <w:t xml:space="preserve"> </w:t>
      </w:r>
    </w:p>
    <w:p w:rsidR="00CE7BDD" w:rsidRDefault="00F45119">
      <w:pPr>
        <w:ind w:left="-15" w:right="60" w:firstLine="0"/>
      </w:pPr>
      <w:r>
        <w:tab/>
      </w:r>
      <w:r>
        <w:tab/>
      </w:r>
      <w:r>
        <w:rPr>
          <w:b/>
          <w:szCs w:val="24"/>
        </w:rPr>
        <w:t xml:space="preserve">Стоимость проектной документации не входит в стоимость </w:t>
      </w:r>
      <w:proofErr w:type="gramStart"/>
      <w:r>
        <w:rPr>
          <w:b/>
          <w:szCs w:val="24"/>
        </w:rPr>
        <w:t>Лота,  составляет</w:t>
      </w:r>
      <w:proofErr w:type="gramEnd"/>
      <w:r>
        <w:rPr>
          <w:b/>
          <w:szCs w:val="24"/>
        </w:rPr>
        <w:t xml:space="preserve"> 18 000 000 (восемнадцать миллионов) рублей, в том числе НДС 20%.</w:t>
      </w:r>
    </w:p>
    <w:p w:rsidR="00CE7BDD" w:rsidRDefault="00F45119">
      <w:pPr>
        <w:ind w:left="-15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ab/>
        <w:t>Для заключения договора купли-продажи Покупатель должен в срок не позднее 5 (пяти) рабочих дней связаться с Организатором торгов по телефону, указанному в настоящем информационном сообщении</w:t>
      </w:r>
      <w:bookmarkStart w:id="1" w:name="_GoBack1"/>
      <w:bookmarkEnd w:id="1"/>
      <w:r>
        <w:rPr>
          <w:b/>
          <w:szCs w:val="24"/>
          <w:shd w:val="clear" w:color="auto" w:fill="FFFFFF"/>
        </w:rPr>
        <w:t>.</w:t>
      </w:r>
    </w:p>
    <w:p w:rsidR="00CE7BDD" w:rsidRDefault="00F45119">
      <w:pPr>
        <w:ind w:left="-15" w:right="60" w:firstLin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CE7BDD" w:rsidRDefault="00F45119">
      <w:pPr>
        <w:ind w:left="-15" w:right="60" w:firstLine="0"/>
      </w:pPr>
      <w:r>
        <w:tab/>
      </w:r>
      <w:r>
        <w:tab/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10 (десяти) рабочих дней с даты признания торгов несостоявшимися вправе обратиться к Организатору торгов с заявлением о готовности приобрести Объект на условиях, установленных настоящим информационным сообщением для Победителя торгов.  В этом случае с единственным участником аукциона в течение 10 (десяти) рабочих дней с даты признания торгов несостоявшимися может быть заключен договор купли-продажи по цене не ниже начальной цены Объекта, установленной в настоящем информационном сообщении. </w:t>
      </w:r>
      <w:r>
        <w:lastRenderedPageBreak/>
        <w:t>При этом задаток, внесенный единственным участником аукциона, ему не возвращается и засчитывается в счет оплаты цены Объекта. Оплата цены Объекта производится единственным участником аукциона за вычетом ранее внесённого задатка путем безналичного перечисления денежных средств в порядке и сроки, предусмотренные договором купли-продажи Объекта и проектной документации.</w:t>
      </w:r>
    </w:p>
    <w:p w:rsidR="00CE7BDD" w:rsidRDefault="00F45119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 xml:space="preserve">с условиями договора купли-продажи </w:t>
      </w:r>
      <w:r>
        <w:rPr>
          <w:bCs/>
          <w:szCs w:val="24"/>
          <w:shd w:val="clear" w:color="auto" w:fill="FFFFFF"/>
        </w:rPr>
        <w:t>Объекта и проектной документации.</w:t>
      </w:r>
    </w:p>
    <w:p w:rsidR="00CE7BDD" w:rsidRDefault="00F45119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 от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Style w:val="cf01"/>
          <w:rFonts w:eastAsia="Courier New" w:cs="Times New Roman"/>
          <w:bCs/>
          <w:sz w:val="24"/>
          <w:szCs w:val="24"/>
        </w:rPr>
        <w:t>торгов с учетом положений Указа Президента РФ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несет покупатель.</w:t>
      </w:r>
    </w:p>
    <w:p w:rsidR="00CE7BDD" w:rsidRDefault="00F4511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>вопросам  ознакомления</w:t>
      </w:r>
      <w:proofErr w:type="gramEnd"/>
      <w:r>
        <w:rPr>
          <w:szCs w:val="24"/>
        </w:rPr>
        <w:t xml:space="preserve">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+7 931 398 14 86, 8-800-777-57-57, доб.713. </w:t>
      </w:r>
    </w:p>
    <w:p w:rsidR="00CE7BDD" w:rsidRDefault="00F45119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CE7BDD" w:rsidRDefault="00CE7BDD">
      <w:pPr>
        <w:ind w:left="567" w:right="60" w:firstLine="0"/>
        <w:rPr>
          <w:szCs w:val="24"/>
        </w:rPr>
      </w:pPr>
    </w:p>
    <w:p w:rsidR="00CE7BDD" w:rsidRDefault="00F45119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CE7BDD" w:rsidRDefault="00CE7BDD">
      <w:pPr>
        <w:spacing w:after="0" w:line="259" w:lineRule="auto"/>
        <w:ind w:left="567" w:right="60" w:firstLine="0"/>
        <w:jc w:val="left"/>
        <w:rPr>
          <w:szCs w:val="24"/>
        </w:rPr>
      </w:pPr>
    </w:p>
    <w:p w:rsidR="00CE7BDD" w:rsidRDefault="00F45119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:rsidR="00CE7BDD" w:rsidRDefault="00F45119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выписка из ЕГРН</w:t>
      </w:r>
    </w:p>
    <w:p w:rsidR="00CE7BDD" w:rsidRDefault="00F45119">
      <w:pPr>
        <w:spacing w:after="0" w:line="259" w:lineRule="auto"/>
        <w:ind w:left="567" w:right="60" w:firstLine="0"/>
        <w:jc w:val="left"/>
        <w:rPr>
          <w:szCs w:val="24"/>
        </w:rPr>
      </w:pPr>
      <w:r>
        <w:t xml:space="preserve">- проект </w:t>
      </w:r>
      <w:r>
        <w:rPr>
          <w:shd w:val="clear" w:color="auto" w:fill="FFFFFF"/>
        </w:rPr>
        <w:t>договора купли-продажи Объекта и проектной документации.</w:t>
      </w:r>
    </w:p>
    <w:sectPr w:rsidR="00CE7BDD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53A8"/>
    <w:multiLevelType w:val="multilevel"/>
    <w:tmpl w:val="54A6FF34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0A7567"/>
    <w:multiLevelType w:val="multilevel"/>
    <w:tmpl w:val="9D1A700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CCE3C11"/>
    <w:multiLevelType w:val="multilevel"/>
    <w:tmpl w:val="479ED89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237176C"/>
    <w:multiLevelType w:val="multilevel"/>
    <w:tmpl w:val="5BE6EA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9533223"/>
    <w:multiLevelType w:val="multilevel"/>
    <w:tmpl w:val="4E2421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DD"/>
    <w:rsid w:val="003E46FE"/>
    <w:rsid w:val="00CE7BDD"/>
    <w:rsid w:val="00F4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BFC68-8E77-40D9-BBC8-B04D7C0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20DC-B1C9-410B-8031-DFA6CB1E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3</cp:revision>
  <cp:lastPrinted>2024-01-19T13:06:00Z</cp:lastPrinted>
  <dcterms:created xsi:type="dcterms:W3CDTF">2024-02-05T08:03:00Z</dcterms:created>
  <dcterms:modified xsi:type="dcterms:W3CDTF">2024-02-05T09:04:00Z</dcterms:modified>
  <dc:language>ru-RU</dc:language>
</cp:coreProperties>
</file>