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9847" w14:textId="0E4FA7D2" w:rsidR="00AF4511" w:rsidRPr="00D70D39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2B74BF" w:rsidRPr="00D70D39">
        <w:rPr>
          <w:rFonts w:ascii="Times New Roman" w:hAnsi="Times New Roman" w:cs="Times New Roman"/>
          <w:sz w:val="20"/>
          <w:szCs w:val="20"/>
          <w:lang w:val="ru-RU"/>
        </w:rPr>
        <w:t>8 800 777 5757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70D39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D70D39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D70D39">
        <w:rPr>
          <w:rFonts w:ascii="Times New Roman" w:hAnsi="Times New Roman" w:cs="Times New Roman"/>
          <w:sz w:val="20"/>
          <w:szCs w:val="20"/>
        </w:rPr>
        <w:t>auction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70D39">
        <w:rPr>
          <w:rFonts w:ascii="Times New Roman" w:hAnsi="Times New Roman" w:cs="Times New Roman"/>
          <w:sz w:val="20"/>
          <w:szCs w:val="20"/>
        </w:rPr>
        <w:t>house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D70D39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</w:t>
      </w:r>
      <w:proofErr w:type="spellStart"/>
      <w:r w:rsidRPr="00D70D39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. договора поручения с </w:t>
      </w:r>
      <w:r w:rsidR="002B74BF" w:rsidRPr="00D70D39">
        <w:rPr>
          <w:rFonts w:ascii="Times New Roman" w:hAnsi="Times New Roman" w:cs="Times New Roman"/>
          <w:b/>
          <w:sz w:val="20"/>
          <w:szCs w:val="20"/>
          <w:lang w:val="ru-RU"/>
        </w:rPr>
        <w:t>ОАО «МФЦ»</w:t>
      </w:r>
      <w:r w:rsidR="0049569B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2B74BF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>7729138539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2B74BF"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Коврига А.А. </w:t>
      </w:r>
      <w:r w:rsidR="0049569B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(ИНН </w:t>
      </w:r>
      <w:r w:rsidR="002B74BF" w:rsidRPr="00D70D39">
        <w:rPr>
          <w:rFonts w:ascii="Times New Roman" w:hAnsi="Times New Roman" w:cs="Times New Roman"/>
          <w:sz w:val="20"/>
          <w:szCs w:val="20"/>
          <w:lang w:val="ru-RU"/>
        </w:rPr>
        <w:t>366306006173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2B74B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Ассоциации ВАУ «Достояние» (ИНН </w:t>
      </w:r>
      <w:r w:rsidR="00523200" w:rsidRPr="00D70D39">
        <w:rPr>
          <w:rFonts w:ascii="Times New Roman" w:hAnsi="Times New Roman" w:cs="Times New Roman"/>
          <w:sz w:val="20"/>
          <w:szCs w:val="20"/>
          <w:lang w:val="ru-RU"/>
        </w:rPr>
        <w:t>7811290230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</w:t>
      </w:r>
      <w:proofErr w:type="spellStart"/>
      <w:r w:rsidRPr="00D70D39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523200" w:rsidRPr="00D70D39">
        <w:rPr>
          <w:rFonts w:ascii="Times New Roman" w:hAnsi="Times New Roman" w:cs="Times New Roman"/>
          <w:sz w:val="20"/>
          <w:szCs w:val="20"/>
          <w:lang w:val="ru-RU"/>
        </w:rPr>
        <w:t>Решения от 01.12.2017 и Определения от 13.09.2018 Арбитражного суда города Москвы по делу №А40-108569/2016 38-145Б</w:t>
      </w:r>
      <w:r w:rsidR="00957EC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D70D39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22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proofErr w:type="spellStart"/>
      <w:r w:rsidR="00336DC2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</w:t>
      </w:r>
      <w:proofErr w:type="spellEnd"/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D70D39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D70D3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D70D39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D70D3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D70D39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D70D3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5E4B93" w:rsidRPr="00D70D39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="005E4B93" w:rsidRPr="00D70D3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- ЭП) путем 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11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0D24CA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21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0D24CA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03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0D24CA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</w:t>
      </w:r>
      <w:r w:rsidR="007E2039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96278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(далее – нач. цена)</w:t>
      </w:r>
      <w:r w:rsidR="00AD0137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="002A1222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147782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1 – </w:t>
      </w:r>
      <w:r w:rsidR="00523200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641 302,07 </w:t>
      </w:r>
      <w:r w:rsidR="00147782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  <w:r w:rsidR="00AD0137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; Лот 2 - </w:t>
      </w:r>
      <w:r w:rsidR="00523200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0,94 </w:t>
      </w:r>
      <w:r w:rsidR="00AD0137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</w:p>
    <w:p w14:paraId="133E8DD9" w14:textId="7040E7D2" w:rsidR="00AF4511" w:rsidRPr="00D70D39" w:rsidRDefault="0014778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Торги признаны несостоявшимися, ОТ сообщает </w:t>
      </w:r>
      <w:r w:rsidRPr="00C72D1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о проведении</w:t>
      </w:r>
      <w:r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14</w:t>
      </w:r>
      <w:r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10 час. 00 мин.</w:t>
      </w:r>
      <w:r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повторных открытых электронных торгов</w:t>
      </w:r>
      <w:r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на ЭП</w:t>
      </w:r>
      <w:r w:rsidR="00A53855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31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12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0D24CA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00 мин</w:t>
      </w:r>
      <w:r w:rsidR="00A53855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0D24CA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13</w:t>
      </w:r>
      <w:r w:rsidR="00A53855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0D24CA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05</w:t>
      </w:r>
      <w:r w:rsidR="00A53855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0D24CA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</w:t>
      </w:r>
      <w:r w:rsidR="00A53855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 в 17 час. 00 мин., оформляется протоколом об определении участников торгов. 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</w:t>
      </w:r>
      <w:r w:rsidR="002A1222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цена на повторных Торгах</w:t>
      </w:r>
      <w:r w:rsidR="00940788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 Лот 1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– </w:t>
      </w:r>
      <w:r w:rsidR="00A41889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577 171,86 </w:t>
      </w:r>
      <w:r w:rsidR="00A53855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  <w:r w:rsidR="00940788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; Лот 2 – </w:t>
      </w:r>
      <w:r w:rsidR="00A41889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0,85</w:t>
      </w:r>
      <w:r w:rsidR="00940788" w:rsidRPr="00D70D3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руб.</w:t>
      </w:r>
    </w:p>
    <w:p w14:paraId="61D47E32" w14:textId="44A7B079" w:rsidR="00305A1E" w:rsidRPr="00D70D39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</w:t>
      </w:r>
      <w:r w:rsidRPr="00D70D3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торги посредством публичного предложения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(далее – </w:t>
      </w:r>
      <w:r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0D24CA"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>26</w:t>
      </w:r>
      <w:r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0D24CA"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>05</w:t>
      </w:r>
      <w:r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0D24CA"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>4</w:t>
      </w:r>
      <w:r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2A1222"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г. </w:t>
      </w:r>
      <w:r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17</w:t>
      </w:r>
      <w:r w:rsidR="002A1222"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D70D3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="000C0243" w:rsidRPr="000C024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Сокращение: календарный день – к/день. 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94078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Лотов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0D24CA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37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0D24CA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r w:rsidR="004E22B4">
        <w:rPr>
          <w:rFonts w:ascii="Times New Roman" w:eastAsia="Calibri" w:hAnsi="Times New Roman" w:cs="Times New Roman"/>
          <w:sz w:val="20"/>
          <w:szCs w:val="20"/>
          <w:lang w:val="ru-RU"/>
        </w:rPr>
        <w:t>/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дн</w:t>
      </w:r>
      <w:r w:rsidR="000D24CA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, с</w:t>
      </w:r>
      <w:r w:rsidR="00315A91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59434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по </w:t>
      </w:r>
      <w:r w:rsidR="000D24CA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5</w:t>
      </w:r>
      <w:r w:rsidR="0059434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-ый периоды – </w:t>
      </w:r>
      <w:r w:rsidR="000D24CA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7</w:t>
      </w:r>
      <w:r w:rsidR="0059434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0D24CA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r w:rsidR="004E22B4">
        <w:rPr>
          <w:rFonts w:ascii="Times New Roman" w:eastAsia="Calibri" w:hAnsi="Times New Roman" w:cs="Times New Roman"/>
          <w:sz w:val="20"/>
          <w:szCs w:val="20"/>
          <w:lang w:val="ru-RU"/>
        </w:rPr>
        <w:t>/</w:t>
      </w:r>
      <w:r w:rsidR="0059434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дн</w:t>
      </w:r>
      <w:r w:rsidR="000D24CA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="0059434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0D24CA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7</w:t>
      </w:r>
      <w:r w:rsidR="0094078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% от нач. цены публичного предложения на 1-м периоде Торгов ППП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. Минимальная цена (цена отсечения)</w:t>
      </w:r>
      <w:r w:rsidR="0094078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="008C7F27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Лот 1 – </w:t>
      </w:r>
      <w:r w:rsidR="00A41889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415 563,74 </w:t>
      </w:r>
      <w:r w:rsidR="0094078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руб.; Лот 2 – </w:t>
      </w:r>
      <w:r w:rsidR="00A41889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>0,61</w:t>
      </w:r>
      <w:r w:rsidR="00940788"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руб.</w:t>
      </w:r>
      <w:r w:rsidRPr="00D70D3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D70D3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14:paraId="2FFA1F21" w14:textId="696B3C9D" w:rsidR="00AD0137" w:rsidRPr="00D70D39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0D39">
        <w:rPr>
          <w:rFonts w:ascii="Times New Roman" w:hAnsi="Times New Roman" w:cs="Times New Roman"/>
          <w:sz w:val="20"/>
          <w:szCs w:val="20"/>
          <w:lang w:val="ru-RU"/>
        </w:rPr>
        <w:t>Продаже подлежит имущество (далее – Имущество, Лот</w:t>
      </w:r>
      <w:r w:rsidR="00822147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): </w:t>
      </w:r>
    </w:p>
    <w:p w14:paraId="2988FC19" w14:textId="4B5CBDA0" w:rsidR="00305A1E" w:rsidRPr="00D70D39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23200" w:rsidRPr="00D70D39">
        <w:rPr>
          <w:rFonts w:ascii="Times New Roman" w:hAnsi="Times New Roman" w:cs="Times New Roman"/>
          <w:sz w:val="20"/>
          <w:szCs w:val="20"/>
          <w:lang w:val="ru-RU"/>
        </w:rPr>
        <w:t>Обыкновенные именные бездокументарные акции ПАО «РОССЕТИ ЦЕНТР И ПОВОЛЖЬЕ» (ИНН 5260200603) в количестве 2 654 396 шт., номинальной стоимостью 0,1 руб. каждая, государственный регистрационный номер 1-01-12665-Е</w:t>
      </w:r>
      <w:r w:rsidR="00305A1E" w:rsidRPr="00D70D3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29D0186" w14:textId="1EEF2D68" w:rsidR="001948F5" w:rsidRPr="001948F5" w:rsidRDefault="00AD0137" w:rsidP="001948F5">
      <w:pPr>
        <w:tabs>
          <w:tab w:val="left" w:pos="0"/>
        </w:tabs>
        <w:ind w:right="-57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>Лот 2: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23200" w:rsidRPr="001948F5">
        <w:rPr>
          <w:rFonts w:ascii="Times New Roman" w:hAnsi="Times New Roman" w:cs="Times New Roman"/>
          <w:sz w:val="20"/>
          <w:szCs w:val="20"/>
          <w:lang w:val="ru-RU"/>
        </w:rPr>
        <w:t>Обыкновенные именные бездокументарные акции АО «Дороги и Мосты» (ИНН 7730259560) в количестве 6 шт., номинальной стоимостью 0,14 руб. каждая, государственный регистрационный номер 1-01-16676-А</w:t>
      </w:r>
      <w:r w:rsidRPr="001948F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48669D4" w14:textId="6268DF49" w:rsidR="00523200" w:rsidRDefault="00523200" w:rsidP="00EB0925">
      <w:pPr>
        <w:tabs>
          <w:tab w:val="left" w:pos="0"/>
        </w:tabs>
        <w:ind w:right="-57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48F5">
        <w:rPr>
          <w:rFonts w:ascii="Times New Roman" w:hAnsi="Times New Roman" w:cs="Times New Roman"/>
          <w:sz w:val="20"/>
          <w:szCs w:val="20"/>
          <w:lang w:val="ru-RU"/>
        </w:rPr>
        <w:t>Ознакомление с документами в отношении Лотов производится по предварительной договоренности в раб</w:t>
      </w:r>
      <w:r w:rsidR="00EB0925" w:rsidRPr="001948F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948F5">
        <w:rPr>
          <w:rFonts w:ascii="Times New Roman" w:hAnsi="Times New Roman" w:cs="Times New Roman"/>
          <w:sz w:val="20"/>
          <w:szCs w:val="20"/>
          <w:lang w:val="ru-RU"/>
        </w:rPr>
        <w:t xml:space="preserve"> дни с 09:00 по 18:00, эл. почта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D70D39">
        <w:rPr>
          <w:rFonts w:ascii="Times New Roman" w:hAnsi="Times New Roman" w:cs="Times New Roman"/>
          <w:sz w:val="20"/>
          <w:szCs w:val="20"/>
        </w:rPr>
        <w:t>org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70D39">
        <w:rPr>
          <w:rFonts w:ascii="Times New Roman" w:hAnsi="Times New Roman" w:cs="Times New Roman"/>
          <w:sz w:val="20"/>
          <w:szCs w:val="20"/>
        </w:rPr>
        <w:t>torg</w:t>
      </w:r>
      <w:proofErr w:type="spellEnd"/>
      <w:r w:rsidRPr="00D70D39">
        <w:rPr>
          <w:rFonts w:ascii="Times New Roman" w:hAnsi="Times New Roman" w:cs="Times New Roman"/>
          <w:sz w:val="20"/>
          <w:szCs w:val="20"/>
          <w:lang w:val="ru-RU"/>
        </w:rPr>
        <w:t>90@</w:t>
      </w:r>
      <w:proofErr w:type="spellStart"/>
      <w:r w:rsidRPr="00D70D39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D70D39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D70D39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D70D39">
        <w:rPr>
          <w:rFonts w:ascii="Times New Roman" w:hAnsi="Times New Roman" w:cs="Times New Roman"/>
          <w:sz w:val="20"/>
          <w:szCs w:val="20"/>
          <w:lang w:val="ru-RU"/>
        </w:rPr>
        <w:t>, тел. +79204156438 (К</w:t>
      </w:r>
      <w:r w:rsidR="00EB0925" w:rsidRPr="00D70D39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EB0925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а также у ОТ: тел. 8(499)395-00-20 (с 9.00 до 18.00 по </w:t>
      </w:r>
      <w:proofErr w:type="spellStart"/>
      <w:r w:rsidR="00EB0925" w:rsidRPr="00D70D39">
        <w:rPr>
          <w:rFonts w:ascii="Times New Roman" w:hAnsi="Times New Roman" w:cs="Times New Roman"/>
          <w:sz w:val="20"/>
          <w:szCs w:val="20"/>
          <w:lang w:val="ru-RU"/>
        </w:rPr>
        <w:t>Мск</w:t>
      </w:r>
      <w:proofErr w:type="spellEnd"/>
      <w:r w:rsidR="00EB0925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. в раб. дни) </w:t>
      </w:r>
      <w:hyperlink r:id="rId9" w:history="1">
        <w:r w:rsidR="00EB0925" w:rsidRPr="00D70D3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informmsk@auction-house.ru</w:t>
        </w:r>
      </w:hyperlink>
      <w:r w:rsidR="00EB0925" w:rsidRPr="00D70D3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99E6387" w14:textId="0DB6AD8E" w:rsidR="00F32B01" w:rsidRPr="00D70D39" w:rsidRDefault="00957EC1" w:rsidP="002A5796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3D0618" w:rsidRPr="00D70D39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D70D3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D70D3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D70D39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D70D3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D70D39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оргов ППП – </w:t>
      </w:r>
      <w:r w:rsidR="003D0618" w:rsidRPr="00D70D39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DE2CE1" w:rsidRPr="00D70D39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5160D8" w:rsidRPr="00D70D39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D70D3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D70D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D70D39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D70D39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</w:t>
      </w:r>
      <w:r w:rsidR="003D0618" w:rsidRPr="00D70D39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5160D8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не позднее даты и времени окончания приема за</w:t>
      </w:r>
      <w:r w:rsidR="00622CD7" w:rsidRPr="00D70D39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D70D39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</w:t>
      </w:r>
      <w:r w:rsidR="007651BC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оргов ППП. 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</w:t>
      </w:r>
      <w:r w:rsidR="003D0618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ОАО «МФЦ» 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(ИНН </w:t>
      </w:r>
      <w:r w:rsidR="003D0618" w:rsidRPr="00D70D39">
        <w:rPr>
          <w:rFonts w:ascii="Times New Roman" w:hAnsi="Times New Roman" w:cs="Times New Roman"/>
          <w:sz w:val="20"/>
          <w:szCs w:val="20"/>
          <w:lang w:val="ru-RU"/>
        </w:rPr>
        <w:t>7729138539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КПП </w:t>
      </w:r>
      <w:r w:rsidR="003D0618" w:rsidRPr="00D70D39">
        <w:rPr>
          <w:rFonts w:ascii="Times New Roman" w:hAnsi="Times New Roman" w:cs="Times New Roman"/>
          <w:sz w:val="20"/>
          <w:szCs w:val="20"/>
          <w:lang w:val="ru-RU"/>
        </w:rPr>
        <w:t>770601001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): </w:t>
      </w:r>
      <w:r w:rsidR="003D0618" w:rsidRPr="00D70D39">
        <w:rPr>
          <w:rFonts w:ascii="Times New Roman" w:hAnsi="Times New Roman" w:cs="Times New Roman"/>
          <w:sz w:val="20"/>
          <w:szCs w:val="20"/>
          <w:lang w:val="ru-RU"/>
        </w:rPr>
        <w:t>ПАО Сбербанк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3D0618" w:rsidRPr="00D70D39">
        <w:rPr>
          <w:rFonts w:ascii="Times New Roman" w:hAnsi="Times New Roman" w:cs="Times New Roman"/>
          <w:sz w:val="20"/>
          <w:szCs w:val="20"/>
          <w:lang w:val="ru-RU"/>
        </w:rPr>
        <w:t>042007681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3D0618" w:rsidRPr="00D70D39">
        <w:rPr>
          <w:rFonts w:ascii="Times New Roman" w:hAnsi="Times New Roman" w:cs="Times New Roman"/>
          <w:sz w:val="20"/>
          <w:szCs w:val="20"/>
          <w:lang w:val="ru-RU"/>
        </w:rPr>
        <w:t>30101810600000000681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Р/с </w:t>
      </w:r>
      <w:r w:rsidR="003D0618" w:rsidRPr="00D70D39">
        <w:rPr>
          <w:rFonts w:ascii="Times New Roman" w:hAnsi="Times New Roman" w:cs="Times New Roman"/>
          <w:sz w:val="20"/>
          <w:szCs w:val="20"/>
          <w:lang w:val="ru-RU"/>
        </w:rPr>
        <w:t>40701810913000000122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. В платежном документе в графе «назначение платежа» должна содержаться информация: </w:t>
      </w:r>
      <w:r w:rsidR="00440C14" w:rsidRPr="00D70D39">
        <w:rPr>
          <w:rFonts w:ascii="Times New Roman" w:hAnsi="Times New Roman" w:cs="Times New Roman"/>
          <w:sz w:val="20"/>
          <w:szCs w:val="20"/>
          <w:lang w:val="ru-RU"/>
        </w:rPr>
        <w:t>«Перечисление задатка на участие в торгах №_____ по продаже имущества ОАО «МФЦ» в отношении лота № ___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>».</w:t>
      </w:r>
      <w:r w:rsidR="00DB0EDD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04D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440C14" w:rsidRPr="00D70D39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E204D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440C14" w:rsidRPr="00D70D39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E204D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0EDD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BA505D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К участию в </w:t>
      </w:r>
      <w:r w:rsidR="00440C14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BA505D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 w:rsidR="001948F5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BA505D" w:rsidRPr="00D70D39">
        <w:rPr>
          <w:rFonts w:ascii="Times New Roman" w:hAnsi="Times New Roman" w:cs="Times New Roman"/>
          <w:sz w:val="20"/>
          <w:szCs w:val="20"/>
          <w:lang w:val="ru-RU"/>
        </w:rPr>
        <w:t>О несостоятельности (банкротстве)</w:t>
      </w:r>
      <w:r w:rsidR="001948F5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BA505D" w:rsidRPr="00D70D39">
        <w:rPr>
          <w:rFonts w:ascii="Times New Roman" w:hAnsi="Times New Roman" w:cs="Times New Roman"/>
          <w:sz w:val="20"/>
          <w:szCs w:val="20"/>
          <w:lang w:val="ru-RU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</w:t>
      </w:r>
      <w:r w:rsidR="00DE2CE1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D70D39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741C0B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D70D39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D70D39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при отсутствии предложений других участников </w:t>
      </w:r>
      <w:r w:rsidR="00741C0B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представили в установленный срок заявки, содержащие различные предложения о цене Лота, но не ниже нач</w:t>
      </w:r>
      <w:r w:rsidR="002A1222" w:rsidRPr="00D70D39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741C0B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оргов представили в установленный срок заявки, содержащие равные предложения о цене Лота, но не ниже нач</w:t>
      </w:r>
      <w:r w:rsidR="002A1222" w:rsidRPr="00D70D39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70D39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BA505D" w:rsidRPr="00D70D39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D70D39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D70D39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</w:t>
      </w:r>
      <w:r w:rsidR="002A5796" w:rsidRPr="00D70D39">
        <w:rPr>
          <w:rFonts w:ascii="Times New Roman" w:hAnsi="Times New Roman" w:cs="Times New Roman"/>
          <w:sz w:val="20"/>
          <w:szCs w:val="20"/>
          <w:lang w:val="ru-RU"/>
        </w:rPr>
        <w:t>основной</w:t>
      </w:r>
      <w:r w:rsidR="00BA505D"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0D39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F50EC2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</w:t>
      </w:r>
      <w:r w:rsidR="002A5796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40701810113000000087 </w:t>
      </w:r>
      <w:r w:rsidR="0049335B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2A5796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>ПАО Сбербанк</w:t>
      </w:r>
      <w:r w:rsidR="00F50EC2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2A5796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30101810600000000681</w:t>
      </w:r>
      <w:r w:rsidR="00F50EC2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2A5796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042007681</w:t>
      </w:r>
      <w:r w:rsidR="0049335B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  <w:r w:rsidR="002A5796" w:rsidRPr="00D70D39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F32B01" w:rsidRPr="00D70D39" w:rsidSect="00D70D39">
      <w:pgSz w:w="11906" w:h="16838"/>
      <w:pgMar w:top="709" w:right="56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C357" w14:textId="77777777" w:rsidR="007F2648" w:rsidRDefault="007F2648" w:rsidP="00FE1E33">
      <w:r>
        <w:separator/>
      </w:r>
    </w:p>
  </w:endnote>
  <w:endnote w:type="continuationSeparator" w:id="0">
    <w:p w14:paraId="327E8AAD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08A9" w14:textId="77777777" w:rsidR="007F2648" w:rsidRDefault="007F2648" w:rsidP="00FE1E33">
      <w:r>
        <w:separator/>
      </w:r>
    </w:p>
  </w:footnote>
  <w:footnote w:type="continuationSeparator" w:id="0">
    <w:p w14:paraId="1E72F206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4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0243"/>
    <w:rsid w:val="000C6E65"/>
    <w:rsid w:val="000D24CA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948F5"/>
    <w:rsid w:val="001A70B8"/>
    <w:rsid w:val="001B1562"/>
    <w:rsid w:val="001B2EB9"/>
    <w:rsid w:val="00201387"/>
    <w:rsid w:val="00203371"/>
    <w:rsid w:val="002109D8"/>
    <w:rsid w:val="00220D13"/>
    <w:rsid w:val="00231CB8"/>
    <w:rsid w:val="00273968"/>
    <w:rsid w:val="00275D24"/>
    <w:rsid w:val="002A1222"/>
    <w:rsid w:val="002A5796"/>
    <w:rsid w:val="002B74BF"/>
    <w:rsid w:val="00305A1E"/>
    <w:rsid w:val="00315A91"/>
    <w:rsid w:val="00321DFA"/>
    <w:rsid w:val="00336DC2"/>
    <w:rsid w:val="00364660"/>
    <w:rsid w:val="003655EE"/>
    <w:rsid w:val="00390A28"/>
    <w:rsid w:val="003D0088"/>
    <w:rsid w:val="003D0618"/>
    <w:rsid w:val="003D071E"/>
    <w:rsid w:val="003D46FA"/>
    <w:rsid w:val="003D774E"/>
    <w:rsid w:val="00413D03"/>
    <w:rsid w:val="004227A7"/>
    <w:rsid w:val="00440C14"/>
    <w:rsid w:val="00460523"/>
    <w:rsid w:val="00487F3A"/>
    <w:rsid w:val="0049335B"/>
    <w:rsid w:val="0049569B"/>
    <w:rsid w:val="004C427D"/>
    <w:rsid w:val="004C645B"/>
    <w:rsid w:val="004D3058"/>
    <w:rsid w:val="004D4886"/>
    <w:rsid w:val="004E22B4"/>
    <w:rsid w:val="004F0F59"/>
    <w:rsid w:val="005041D2"/>
    <w:rsid w:val="00515D05"/>
    <w:rsid w:val="005160D8"/>
    <w:rsid w:val="00523200"/>
    <w:rsid w:val="00556B26"/>
    <w:rsid w:val="0056183E"/>
    <w:rsid w:val="00565CA3"/>
    <w:rsid w:val="00573F80"/>
    <w:rsid w:val="00594348"/>
    <w:rsid w:val="005A07F8"/>
    <w:rsid w:val="005E4B93"/>
    <w:rsid w:val="005F3E56"/>
    <w:rsid w:val="00622CD7"/>
    <w:rsid w:val="00642A4F"/>
    <w:rsid w:val="00654E9C"/>
    <w:rsid w:val="00677E82"/>
    <w:rsid w:val="006C50C1"/>
    <w:rsid w:val="0071333C"/>
    <w:rsid w:val="0072039B"/>
    <w:rsid w:val="00741C0B"/>
    <w:rsid w:val="00747530"/>
    <w:rsid w:val="00752C20"/>
    <w:rsid w:val="007651BC"/>
    <w:rsid w:val="007A1C16"/>
    <w:rsid w:val="007A1E86"/>
    <w:rsid w:val="007C3AA0"/>
    <w:rsid w:val="007D0894"/>
    <w:rsid w:val="007E2039"/>
    <w:rsid w:val="007F2648"/>
    <w:rsid w:val="00822147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40788"/>
    <w:rsid w:val="00942C91"/>
    <w:rsid w:val="00957EC1"/>
    <w:rsid w:val="00983EE8"/>
    <w:rsid w:val="00991CD8"/>
    <w:rsid w:val="00996278"/>
    <w:rsid w:val="009B28CB"/>
    <w:rsid w:val="009D1AB1"/>
    <w:rsid w:val="00A33CAF"/>
    <w:rsid w:val="00A40EB6"/>
    <w:rsid w:val="00A41889"/>
    <w:rsid w:val="00A53855"/>
    <w:rsid w:val="00A53C96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A505D"/>
    <w:rsid w:val="00BC2484"/>
    <w:rsid w:val="00BE53E7"/>
    <w:rsid w:val="00BF24D4"/>
    <w:rsid w:val="00C070E8"/>
    <w:rsid w:val="00C72D1B"/>
    <w:rsid w:val="00CB6895"/>
    <w:rsid w:val="00CC4AFE"/>
    <w:rsid w:val="00CD732D"/>
    <w:rsid w:val="00D03490"/>
    <w:rsid w:val="00D243AB"/>
    <w:rsid w:val="00D406A9"/>
    <w:rsid w:val="00D70D39"/>
    <w:rsid w:val="00D958F9"/>
    <w:rsid w:val="00DA5334"/>
    <w:rsid w:val="00DB0EDD"/>
    <w:rsid w:val="00DE2CE1"/>
    <w:rsid w:val="00DE302A"/>
    <w:rsid w:val="00E041CA"/>
    <w:rsid w:val="00E12860"/>
    <w:rsid w:val="00E204DE"/>
    <w:rsid w:val="00E25D9D"/>
    <w:rsid w:val="00E60808"/>
    <w:rsid w:val="00EB0925"/>
    <w:rsid w:val="00EE2947"/>
    <w:rsid w:val="00F16B17"/>
    <w:rsid w:val="00F27CEE"/>
    <w:rsid w:val="00F32B01"/>
    <w:rsid w:val="00F41BB6"/>
    <w:rsid w:val="00F42103"/>
    <w:rsid w:val="00F50EC2"/>
    <w:rsid w:val="00F546EC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BD4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34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EB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24</cp:revision>
  <cp:lastPrinted>2024-01-31T11:30:00Z</cp:lastPrinted>
  <dcterms:created xsi:type="dcterms:W3CDTF">2022-04-14T07:56:00Z</dcterms:created>
  <dcterms:modified xsi:type="dcterms:W3CDTF">2024-02-01T09:12:00Z</dcterms:modified>
</cp:coreProperties>
</file>