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Pr>
          <w:rFonts w:eastAsia="Times New Roman" w:cs="Times New Roman"/>
          <w:b/>
          <w:bCs/>
          <w:kern w:val="0"/>
          <w:lang w:eastAsia="ru-RU" w:bidi="ar-SA"/>
        </w:rPr>
        <w:t>25 марта</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Pr>
          <w:rFonts w:eastAsia="Times New Roman" w:cs="Times New Roman"/>
          <w:b/>
          <w:bCs/>
          <w:kern w:val="0"/>
          <w:lang w:eastAsia="ru-RU" w:bidi="ar-SA"/>
        </w:rPr>
        <w:t>22.02.2024</w:t>
      </w:r>
      <w:r w:rsidRPr="00E2126F">
        <w:rPr>
          <w:rFonts w:eastAsia="Times New Roman" w:cs="Times New Roman"/>
          <w:b/>
          <w:bCs/>
          <w:kern w:val="0"/>
          <w:lang w:eastAsia="ru-RU" w:bidi="ar-SA"/>
        </w:rPr>
        <w:t xml:space="preserve"> по </w:t>
      </w:r>
      <w:bookmarkStart w:id="0" w:name="_Hlk155702557"/>
      <w:r>
        <w:rPr>
          <w:rFonts w:eastAsia="Times New Roman" w:cs="Times New Roman"/>
          <w:b/>
          <w:bCs/>
          <w:kern w:val="0"/>
          <w:lang w:eastAsia="ru-RU" w:bidi="ar-SA"/>
        </w:rPr>
        <w:t>21.03.2024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77777777"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21</w:t>
      </w:r>
      <w:r w:rsidRPr="00BD665C">
        <w:rPr>
          <w:rFonts w:eastAsia="Times New Roman" w:cs="Times New Roman"/>
          <w:b/>
          <w:bCs/>
          <w:kern w:val="0"/>
          <w:lang w:eastAsia="ru-RU" w:bidi="ar-SA"/>
        </w:rPr>
        <w:t>.0</w:t>
      </w:r>
      <w:r>
        <w:rPr>
          <w:rFonts w:eastAsia="Times New Roman" w:cs="Times New Roman"/>
          <w:b/>
          <w:bCs/>
          <w:kern w:val="0"/>
          <w:lang w:eastAsia="ru-RU" w:bidi="ar-SA"/>
        </w:rPr>
        <w:t>3</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Pr>
          <w:rFonts w:eastAsia="Times New Roman" w:cs="Times New Roman"/>
          <w:b/>
          <w:bCs/>
          <w:kern w:val="0"/>
          <w:lang w:eastAsia="ru-RU" w:bidi="ar-SA"/>
        </w:rPr>
        <w:t>22</w:t>
      </w:r>
      <w:r w:rsidRPr="00BD665C">
        <w:rPr>
          <w:rFonts w:eastAsia="Times New Roman" w:cs="Times New Roman"/>
          <w:b/>
          <w:bCs/>
          <w:kern w:val="0"/>
          <w:lang w:eastAsia="ru-RU" w:bidi="ar-SA"/>
        </w:rPr>
        <w:t>.0</w:t>
      </w:r>
      <w:r>
        <w:rPr>
          <w:rFonts w:eastAsia="Times New Roman" w:cs="Times New Roman"/>
          <w:b/>
          <w:bCs/>
          <w:kern w:val="0"/>
          <w:lang w:eastAsia="ru-RU" w:bidi="ar-SA"/>
        </w:rPr>
        <w:t>3</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0B2A6C0"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6B5E95">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6B5E95">
        <w:rPr>
          <w:rFonts w:eastAsia="Times New Roman" w:cs="Times New Roman"/>
          <w:bCs/>
          <w:sz w:val="18"/>
          <w:szCs w:val="18"/>
          <w:lang w:eastAsia="ru-RU"/>
        </w:rPr>
        <w:t>голланд</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77777777"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Pr>
          <w:rFonts w:cs="Times New Roman"/>
          <w:bCs/>
          <w:u w:val="single"/>
        </w:rPr>
        <w:t>ах</w:t>
      </w:r>
      <w:r w:rsidRPr="00F55CF4">
        <w:rPr>
          <w:rFonts w:cs="Times New Roman"/>
          <w:bCs/>
          <w:u w:val="single"/>
        </w:rPr>
        <w:t xml:space="preserve"> продажи единым лотом:</w:t>
      </w:r>
    </w:p>
    <w:p w14:paraId="7F6B6B0E" w14:textId="77777777" w:rsidR="0078706C" w:rsidRDefault="0078706C" w:rsidP="0078706C">
      <w:pPr>
        <w:jc w:val="both"/>
        <w:rPr>
          <w:kern w:val="2"/>
        </w:rPr>
      </w:pPr>
      <w:r w:rsidRPr="001909B6">
        <w:rPr>
          <w:kern w:val="2"/>
        </w:rPr>
        <w:t>Объект 1:</w:t>
      </w:r>
      <w:r w:rsidRPr="001909B6">
        <w:t xml:space="preserve"> </w:t>
      </w:r>
      <w:r w:rsidRPr="001909B6">
        <w:rPr>
          <w:kern w:val="2"/>
        </w:rPr>
        <w:t xml:space="preserve">36/180 доли в праве общей долевой собственности на административное здание общей площадью 179,8  кв. м, назначение: нежилое, количество этажей: 1, в том числе подземных 0, кадастровый номер 73:04:012106:151, расположенного по адресу: Ульяновская область, Инзенский р-н, с. </w:t>
      </w:r>
      <w:proofErr w:type="spellStart"/>
      <w:r w:rsidRPr="001909B6">
        <w:rPr>
          <w:kern w:val="2"/>
        </w:rPr>
        <w:t>Аргаш</w:t>
      </w:r>
      <w:proofErr w:type="spellEnd"/>
      <w:r w:rsidRPr="001909B6">
        <w:rPr>
          <w:kern w:val="2"/>
        </w:rPr>
        <w:t>, ул. Кузнецова, д. 69 и совместно с имуществом: устройство молниезащиты 4261/03, инв. № 604000000685W08;</w:t>
      </w:r>
    </w:p>
    <w:p w14:paraId="56F6ED7F" w14:textId="77777777" w:rsidR="0078706C" w:rsidRPr="001909B6" w:rsidRDefault="0078706C" w:rsidP="0078706C">
      <w:pPr>
        <w:jc w:val="both"/>
        <w:rPr>
          <w:kern w:val="2"/>
        </w:rPr>
      </w:pPr>
      <w:r>
        <w:rPr>
          <w:kern w:val="2"/>
        </w:rPr>
        <w:t xml:space="preserve">Объект 2: </w:t>
      </w:r>
      <w:r w:rsidRPr="001909B6">
        <w:rPr>
          <w:kern w:val="2"/>
        </w:rPr>
        <w:t>48/219 доли в праве общей долевой собственности на земельный участок площадью 219  кв.</w:t>
      </w:r>
      <w:r>
        <w:rPr>
          <w:kern w:val="2"/>
        </w:rPr>
        <w:t xml:space="preserve"> </w:t>
      </w:r>
      <w:r w:rsidRPr="001909B6">
        <w:rPr>
          <w:kern w:val="2"/>
        </w:rPr>
        <w:t>м, категория земель: земли населенных пунктов, виды разрешенного использования: для размещения административных зданий, кадастровый номер 73:04:012106:5, расположенного по адресу: Ульяновская область, Инзенский район, с.</w:t>
      </w:r>
      <w:r>
        <w:rPr>
          <w:kern w:val="2"/>
        </w:rPr>
        <w:t xml:space="preserve"> </w:t>
      </w:r>
      <w:proofErr w:type="spellStart"/>
      <w:r w:rsidRPr="001909B6">
        <w:rPr>
          <w:kern w:val="2"/>
        </w:rPr>
        <w:t>Аргаш</w:t>
      </w:r>
      <w:proofErr w:type="spellEnd"/>
      <w:r w:rsidRPr="001909B6">
        <w:rPr>
          <w:kern w:val="2"/>
        </w:rPr>
        <w:t>, ул. Кузнецова, дом 69</w:t>
      </w:r>
    </w:p>
    <w:p w14:paraId="5A021340" w14:textId="77777777" w:rsidR="0078706C" w:rsidRDefault="0078706C" w:rsidP="0078706C">
      <w:pPr>
        <w:jc w:val="center"/>
        <w:rPr>
          <w:b/>
          <w:bCs/>
          <w:kern w:val="2"/>
        </w:rPr>
      </w:pPr>
    </w:p>
    <w:p w14:paraId="1CA97098" w14:textId="77777777" w:rsidR="0078706C" w:rsidRDefault="0078706C" w:rsidP="0078706C">
      <w:pPr>
        <w:jc w:val="center"/>
        <w:rPr>
          <w:kern w:val="2"/>
        </w:rPr>
      </w:pPr>
      <w:r w:rsidRPr="006C63EE">
        <w:rPr>
          <w:b/>
          <w:bCs/>
          <w:kern w:val="2"/>
        </w:rPr>
        <w:t xml:space="preserve">Начальная цена Лота №1 – </w:t>
      </w:r>
      <w:r w:rsidRPr="008934C1">
        <w:rPr>
          <w:b/>
          <w:bCs/>
          <w:spacing w:val="-2"/>
        </w:rPr>
        <w:t xml:space="preserve">118 200 </w:t>
      </w:r>
      <w:r w:rsidRPr="00ED34D8">
        <w:rPr>
          <w:b/>
          <w:bCs/>
          <w:spacing w:val="-2"/>
        </w:rPr>
        <w:t>рублей 00 копеек</w:t>
      </w:r>
      <w:r>
        <w:rPr>
          <w:spacing w:val="-2"/>
        </w:rPr>
        <w:t xml:space="preserve"> </w:t>
      </w:r>
      <w:r w:rsidRPr="00D9633C">
        <w:rPr>
          <w:kern w:val="2"/>
        </w:rPr>
        <w:t xml:space="preserve">(в том числе НДС), из них:  </w:t>
      </w:r>
    </w:p>
    <w:p w14:paraId="2B5131BD" w14:textId="5C0F44C0" w:rsidR="0078706C" w:rsidRPr="00060604" w:rsidRDefault="0078706C" w:rsidP="0078706C">
      <w:pPr>
        <w:jc w:val="center"/>
        <w:rPr>
          <w:kern w:val="2"/>
        </w:rPr>
      </w:pPr>
      <w:r w:rsidRPr="00060604">
        <w:rPr>
          <w:kern w:val="2"/>
        </w:rPr>
        <w:t xml:space="preserve">стоимость Объекта 1 – </w:t>
      </w:r>
      <w:r w:rsidRPr="008934C1">
        <w:rPr>
          <w:spacing w:val="-2"/>
        </w:rPr>
        <w:t xml:space="preserve">112 800 </w:t>
      </w:r>
      <w:r w:rsidRPr="00060604">
        <w:rPr>
          <w:kern w:val="2"/>
        </w:rPr>
        <w:t>рубл</w:t>
      </w:r>
      <w:r w:rsidR="006C1EF7">
        <w:rPr>
          <w:kern w:val="2"/>
        </w:rPr>
        <w:t>ей</w:t>
      </w:r>
      <w:r w:rsidRPr="00060604">
        <w:rPr>
          <w:kern w:val="2"/>
        </w:rPr>
        <w:t xml:space="preserve"> 00 копеек (в том числе НДС 20%);</w:t>
      </w:r>
    </w:p>
    <w:p w14:paraId="64EDF42D" w14:textId="77777777" w:rsidR="0078706C" w:rsidRPr="00060604" w:rsidRDefault="0078706C" w:rsidP="0078706C">
      <w:pPr>
        <w:jc w:val="center"/>
        <w:rPr>
          <w:kern w:val="2"/>
        </w:rPr>
      </w:pPr>
      <w:r w:rsidRPr="00060604">
        <w:rPr>
          <w:kern w:val="2"/>
        </w:rPr>
        <w:t xml:space="preserve">стоимость Объекта 2 – </w:t>
      </w:r>
      <w:r>
        <w:rPr>
          <w:spacing w:val="-2"/>
        </w:rPr>
        <w:t>5 400</w:t>
      </w:r>
      <w:r w:rsidRPr="008D5D2B">
        <w:rPr>
          <w:spacing w:val="-2"/>
        </w:rPr>
        <w:t xml:space="preserve"> </w:t>
      </w:r>
      <w:r w:rsidRPr="00060604">
        <w:rPr>
          <w:kern w:val="2"/>
        </w:rPr>
        <w:t>рублей 00 копеек (НДС не облагается)</w:t>
      </w:r>
      <w:r>
        <w:rPr>
          <w:kern w:val="2"/>
        </w:rPr>
        <w:t>.</w:t>
      </w:r>
    </w:p>
    <w:p w14:paraId="17BD5E5B" w14:textId="77777777" w:rsidR="0078706C" w:rsidRDefault="0078706C" w:rsidP="0078706C">
      <w:pPr>
        <w:jc w:val="center"/>
        <w:rPr>
          <w:b/>
          <w:bCs/>
          <w:kern w:val="2"/>
        </w:rPr>
      </w:pPr>
      <w:r>
        <w:rPr>
          <w:b/>
          <w:bCs/>
          <w:kern w:val="2"/>
        </w:rPr>
        <w:t>Миним</w:t>
      </w:r>
      <w:r w:rsidRPr="005A60CA">
        <w:rPr>
          <w:b/>
          <w:bCs/>
          <w:kern w:val="2"/>
        </w:rPr>
        <w:t xml:space="preserve">альная цена Лота №1 – </w:t>
      </w:r>
      <w:r w:rsidRPr="008934C1">
        <w:rPr>
          <w:b/>
          <w:bCs/>
        </w:rPr>
        <w:t xml:space="preserve">78 800 </w:t>
      </w:r>
      <w:r w:rsidRPr="00ED34D8">
        <w:rPr>
          <w:b/>
          <w:bCs/>
          <w:kern w:val="2"/>
        </w:rPr>
        <w:t xml:space="preserve">рублей 00 копеек </w:t>
      </w:r>
      <w:r w:rsidRPr="00282542">
        <w:rPr>
          <w:kern w:val="2"/>
        </w:rPr>
        <w:t>(в том числе НДС), из них:</w:t>
      </w:r>
      <w:r w:rsidRPr="00ED34D8">
        <w:rPr>
          <w:b/>
          <w:bCs/>
          <w:kern w:val="2"/>
        </w:rPr>
        <w:t xml:space="preserve">  </w:t>
      </w:r>
    </w:p>
    <w:p w14:paraId="56D99423" w14:textId="32195474" w:rsidR="0078706C" w:rsidRPr="00060604" w:rsidRDefault="0078706C" w:rsidP="0078706C">
      <w:pPr>
        <w:jc w:val="center"/>
        <w:rPr>
          <w:kern w:val="2"/>
        </w:rPr>
      </w:pPr>
      <w:r w:rsidRPr="00060604">
        <w:rPr>
          <w:kern w:val="2"/>
        </w:rPr>
        <w:t xml:space="preserve">стоимость Объекта 1 – </w:t>
      </w:r>
      <w:r w:rsidRPr="009E1225">
        <w:rPr>
          <w:spacing w:val="-2"/>
        </w:rPr>
        <w:t xml:space="preserve">75 200 </w:t>
      </w:r>
      <w:r w:rsidRPr="00060604">
        <w:rPr>
          <w:kern w:val="2"/>
        </w:rPr>
        <w:t>рубл</w:t>
      </w:r>
      <w:r w:rsidR="006C1EF7">
        <w:rPr>
          <w:kern w:val="2"/>
        </w:rPr>
        <w:t>ей</w:t>
      </w:r>
      <w:r w:rsidRPr="00060604">
        <w:rPr>
          <w:kern w:val="2"/>
        </w:rPr>
        <w:t xml:space="preserve"> 00 копеек (в том числе НДС 20%);</w:t>
      </w:r>
    </w:p>
    <w:p w14:paraId="7414DCB3" w14:textId="10C9C17B" w:rsidR="0078706C" w:rsidRPr="00060604" w:rsidRDefault="0078706C" w:rsidP="0078706C">
      <w:pPr>
        <w:jc w:val="center"/>
        <w:rPr>
          <w:kern w:val="2"/>
        </w:rPr>
      </w:pPr>
      <w:r w:rsidRPr="00060604">
        <w:rPr>
          <w:kern w:val="2"/>
        </w:rPr>
        <w:t>стоимость Объекта 2 –</w:t>
      </w:r>
      <w:r w:rsidR="006C1EF7">
        <w:rPr>
          <w:kern w:val="2"/>
        </w:rPr>
        <w:t xml:space="preserve"> </w:t>
      </w:r>
      <w:r>
        <w:rPr>
          <w:kern w:val="2"/>
        </w:rPr>
        <w:t xml:space="preserve">3 600 </w:t>
      </w:r>
      <w:r w:rsidRPr="00060604">
        <w:rPr>
          <w:kern w:val="2"/>
        </w:rPr>
        <w:t>рублей 00 копеек (НДС не облагается)</w:t>
      </w:r>
      <w:r>
        <w:rPr>
          <w:kern w:val="2"/>
        </w:rPr>
        <w:t>.</w:t>
      </w:r>
    </w:p>
    <w:p w14:paraId="5F63C4FF" w14:textId="09F15790" w:rsidR="0078706C" w:rsidRPr="00263186" w:rsidRDefault="0078706C" w:rsidP="0078706C">
      <w:pPr>
        <w:jc w:val="center"/>
        <w:rPr>
          <w:b/>
          <w:bCs/>
          <w:kern w:val="2"/>
        </w:rPr>
      </w:pPr>
      <w:r w:rsidRPr="00263186">
        <w:rPr>
          <w:b/>
          <w:bCs/>
          <w:kern w:val="2"/>
        </w:rPr>
        <w:t xml:space="preserve">Сумма задатка – </w:t>
      </w:r>
      <w:r>
        <w:rPr>
          <w:b/>
          <w:bCs/>
          <w:kern w:val="2"/>
        </w:rPr>
        <w:t>7 880</w:t>
      </w:r>
      <w:r w:rsidRPr="00D00260">
        <w:rPr>
          <w:b/>
          <w:bCs/>
          <w:kern w:val="2"/>
        </w:rPr>
        <w:t xml:space="preserve"> </w:t>
      </w:r>
      <w:r w:rsidRPr="00ED34D8">
        <w:rPr>
          <w:b/>
          <w:bCs/>
          <w:kern w:val="2"/>
        </w:rPr>
        <w:t>рублей 00 копеек</w:t>
      </w:r>
      <w:r w:rsidR="006C1EF7">
        <w:rPr>
          <w:b/>
          <w:bCs/>
          <w:kern w:val="2"/>
        </w:rPr>
        <w:t>.</w:t>
      </w:r>
    </w:p>
    <w:p w14:paraId="11896227" w14:textId="27104F45" w:rsidR="0078706C" w:rsidRDefault="0078706C" w:rsidP="0078706C">
      <w:pPr>
        <w:jc w:val="center"/>
        <w:rPr>
          <w:b/>
          <w:kern w:val="2"/>
        </w:rPr>
      </w:pPr>
      <w:r w:rsidRPr="0096641E">
        <w:rPr>
          <w:b/>
          <w:kern w:val="2"/>
        </w:rPr>
        <w:t xml:space="preserve">Шаг аукциона </w:t>
      </w:r>
      <w:r>
        <w:rPr>
          <w:b/>
          <w:kern w:val="2"/>
        </w:rPr>
        <w:t xml:space="preserve">на повышение </w:t>
      </w:r>
      <w:r w:rsidRPr="0096641E">
        <w:rPr>
          <w:b/>
          <w:kern w:val="2"/>
        </w:rPr>
        <w:t xml:space="preserve">– </w:t>
      </w:r>
      <w:r>
        <w:rPr>
          <w:b/>
          <w:kern w:val="2"/>
        </w:rPr>
        <w:t>3</w:t>
      </w:r>
      <w:r w:rsidRPr="00D00260">
        <w:rPr>
          <w:b/>
          <w:kern w:val="2"/>
        </w:rPr>
        <w:t xml:space="preserve"> </w:t>
      </w:r>
      <w:r>
        <w:rPr>
          <w:b/>
          <w:kern w:val="2"/>
        </w:rPr>
        <w:t>94</w:t>
      </w:r>
      <w:r w:rsidRPr="00D00260">
        <w:rPr>
          <w:b/>
          <w:kern w:val="2"/>
        </w:rPr>
        <w:t xml:space="preserve">0 </w:t>
      </w:r>
      <w:r w:rsidRPr="00ED34D8">
        <w:rPr>
          <w:b/>
          <w:kern w:val="2"/>
        </w:rPr>
        <w:t>рублей 00 копеек</w:t>
      </w:r>
      <w:r w:rsidR="006C1EF7">
        <w:rPr>
          <w:b/>
          <w:kern w:val="2"/>
        </w:rPr>
        <w:t>.</w:t>
      </w:r>
      <w:r w:rsidRPr="0096641E">
        <w:rPr>
          <w:b/>
          <w:kern w:val="2"/>
        </w:rPr>
        <w:t xml:space="preserve"> </w:t>
      </w:r>
    </w:p>
    <w:p w14:paraId="5E871AC7" w14:textId="37BDDDC3" w:rsidR="0078706C" w:rsidRDefault="0078706C" w:rsidP="0078706C">
      <w:pPr>
        <w:jc w:val="center"/>
        <w:rPr>
          <w:b/>
          <w:kern w:val="2"/>
        </w:rPr>
      </w:pPr>
      <w:r w:rsidRPr="00D00260">
        <w:rPr>
          <w:b/>
          <w:kern w:val="2"/>
        </w:rPr>
        <w:t>Шаг аукциона на по</w:t>
      </w:r>
      <w:r>
        <w:rPr>
          <w:b/>
          <w:kern w:val="2"/>
        </w:rPr>
        <w:t>ниж</w:t>
      </w:r>
      <w:r w:rsidRPr="00D00260">
        <w:rPr>
          <w:b/>
          <w:kern w:val="2"/>
        </w:rPr>
        <w:t xml:space="preserve">ение – </w:t>
      </w:r>
      <w:r w:rsidRPr="006F41D9">
        <w:rPr>
          <w:b/>
          <w:bCs/>
        </w:rPr>
        <w:t>7</w:t>
      </w:r>
      <w:r>
        <w:rPr>
          <w:b/>
          <w:bCs/>
        </w:rPr>
        <w:t> </w:t>
      </w:r>
      <w:r w:rsidRPr="006F41D9">
        <w:rPr>
          <w:b/>
          <w:bCs/>
        </w:rPr>
        <w:t>880</w:t>
      </w:r>
      <w:r w:rsidRPr="000172EC">
        <w:t xml:space="preserve"> </w:t>
      </w:r>
      <w:r w:rsidRPr="00ED34D8">
        <w:rPr>
          <w:b/>
          <w:kern w:val="2"/>
        </w:rPr>
        <w:t>рублей 00 копеек</w:t>
      </w:r>
      <w:r w:rsidR="006C1EF7">
        <w:rPr>
          <w:b/>
          <w:kern w:val="2"/>
        </w:rPr>
        <w:t>.</w:t>
      </w:r>
    </w:p>
    <w:p w14:paraId="001B2F5F" w14:textId="77777777" w:rsidR="0078706C" w:rsidRDefault="0078706C" w:rsidP="0078706C">
      <w:pPr>
        <w:jc w:val="center"/>
        <w:rPr>
          <w:rFonts w:cs="Times New Roman"/>
          <w:b/>
          <w:bCs/>
          <w:kern w:val="2"/>
        </w:rPr>
      </w:pPr>
    </w:p>
    <w:p w14:paraId="5988A503" w14:textId="77777777"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524E6B" w:rsidRDefault="00EC00CA" w:rsidP="00EC00CA">
      <w:pPr>
        <w:jc w:val="center"/>
        <w:rPr>
          <w:b/>
          <w:bCs/>
          <w:kern w:val="2"/>
        </w:rPr>
      </w:pPr>
    </w:p>
    <w:p w14:paraId="149E7C75" w14:textId="5F9D1A6E" w:rsidR="00091BFE" w:rsidRDefault="001909B6" w:rsidP="00DB71EA">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ограничений (обременений):</w:t>
      </w:r>
      <w:r w:rsidRPr="001909B6">
        <w:t xml:space="preserve"> </w:t>
      </w:r>
      <w:r w:rsidR="00C368DB" w:rsidRPr="00C368DB">
        <w:rPr>
          <w:b/>
          <w:bCs/>
        </w:rPr>
        <w:t>в</w:t>
      </w:r>
      <w:r w:rsidRPr="00C368DB">
        <w:rPr>
          <w:b/>
          <w:bCs/>
          <w:color w:val="000000"/>
          <w:kern w:val="2"/>
          <w:shd w:val="clear" w:color="auto" w:fill="FFFFFF"/>
        </w:rPr>
        <w:t xml:space="preserve"> </w:t>
      </w:r>
      <w:r w:rsidRPr="006577E7">
        <w:rPr>
          <w:b/>
          <w:bCs/>
          <w:color w:val="000000"/>
          <w:kern w:val="2"/>
          <w:shd w:val="clear" w:color="auto" w:fill="FFFFFF"/>
        </w:rPr>
        <w:t>отношении Объекта 2 – особые отметки:</w:t>
      </w:r>
      <w:r w:rsidRPr="006577E7">
        <w:rPr>
          <w:color w:val="000000"/>
          <w:kern w:val="2"/>
          <w:shd w:val="clear" w:color="auto" w:fill="FFFFFF"/>
        </w:rPr>
        <w:t xml:space="preserve"> </w:t>
      </w:r>
      <w:r w:rsidR="00A270DA" w:rsidRPr="006577E7">
        <w:rPr>
          <w:color w:val="000000"/>
          <w:kern w:val="2"/>
          <w:shd w:val="clear" w:color="auto" w:fill="FFFFFF"/>
        </w:rPr>
        <w:t>г</w:t>
      </w:r>
      <w:r w:rsidRPr="006577E7">
        <w:rPr>
          <w:color w:val="000000"/>
          <w:kern w:val="2"/>
          <w:shd w:val="clear" w:color="auto" w:fill="FFFFFF"/>
        </w:rPr>
        <w:t xml:space="preserve">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24.12.2001; Лица (объекты недвижимости), в пользу которых (в связи с которыми) установлены ограничения (обременения): ОАО Акционерный Коммерческий Сберегательный банк Российской Федерации; реквизиты документа-основания: свидетельство о государственной регистрации права от 24.12.2001 № 178991. вид ограничения (обременения): прочие ограничения прав и обременения объекта недвижимости; срок действия не установлен; реквизиты документа-основания: "Описание земельных участков" № -. вид ограничения (обременения): аренда; срок действия не установлен; Лица (объекты недвижимости), в пользу которых (в связи с которыми) установлены ограничения (обременения): Ларина Ирина Александровна; реквизиты документа-основания: распоряжение комитета по управлению муниципальным имуществом и земельным отношениям МО "Инзенский район" </w:t>
      </w:r>
      <w:r w:rsidRPr="006577E7">
        <w:rPr>
          <w:color w:val="000000"/>
          <w:kern w:val="2"/>
          <w:shd w:val="clear" w:color="auto" w:fill="FFFFFF"/>
        </w:rPr>
        <w:lastRenderedPageBreak/>
        <w:t>Ульяновской области от 30.11.2007 № 520-р. Сведения, необходимые для заполнения разделов: 3 - Описание местоположения земельного участка; 4 - Сведения о частях земельного участка, отсутствуют.</w:t>
      </w:r>
    </w:p>
    <w:p w14:paraId="3E1E3000" w14:textId="77777777" w:rsidR="001909B6" w:rsidRPr="003F5EDF" w:rsidRDefault="001909B6" w:rsidP="00091BFE">
      <w:pPr>
        <w:widowControl/>
        <w:suppressAutoHyphens w:val="0"/>
        <w:ind w:right="-57"/>
        <w:jc w:val="both"/>
        <w:rPr>
          <w:rFonts w:eastAsia="Times New Roman" w:cs="Times New Roman"/>
          <w:kern w:val="0"/>
          <w:lang w:eastAsia="ru-RU" w:bidi="ar-SA"/>
        </w:rPr>
      </w:pPr>
    </w:p>
    <w:bookmarkEnd w:id="1"/>
    <w:p w14:paraId="350D4AD1" w14:textId="77777777"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 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 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w:t>
      </w:r>
      <w:r w:rsidRPr="006979D5">
        <w:rPr>
          <w:rFonts w:eastAsia="Times New Roman" w:cs="Times New Roman"/>
          <w:kern w:val="0"/>
          <w:lang w:eastAsia="ru-RU" w:bidi="ar-SA"/>
        </w:rPr>
        <w:lastRenderedPageBreak/>
        <w:t>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0A27B9D"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6B5E95">
        <w:rPr>
          <w:rFonts w:eastAsia="Times New Roman" w:cs="Times New Roman"/>
          <w:lang w:eastAsia="ru-RU"/>
        </w:rPr>
        <w:t>ниж</w:t>
      </w:r>
      <w:r w:rsidRPr="003E60ED">
        <w:rPr>
          <w:rFonts w:eastAsia="Times New Roman" w:cs="Times New Roman"/>
          <w:lang w:eastAsia="ru-RU"/>
        </w:rPr>
        <w:t>ение (</w:t>
      </w:r>
      <w:r w:rsidR="006B5E95">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w:t>
      </w:r>
      <w:proofErr w:type="gramStart"/>
      <w:r w:rsidR="006979D5" w:rsidRPr="006979D5">
        <w:rPr>
          <w:rFonts w:eastAsia="Times New Roman" w:cs="Times New Roman"/>
          <w:lang w:eastAsia="ru-RU"/>
        </w:rPr>
        <w:t>подлежащего  продаже</w:t>
      </w:r>
      <w:proofErr w:type="gramEnd"/>
      <w:r w:rsidR="006979D5" w:rsidRPr="006979D5">
        <w:rPr>
          <w:rFonts w:eastAsia="Times New Roman" w:cs="Times New Roman"/>
          <w:lang w:eastAsia="ru-RU"/>
        </w:rPr>
        <w:t xml:space="preserve">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lastRenderedPageBreak/>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6BF5A9D6" w:rsidR="00D93F46" w:rsidRPr="00C368DB" w:rsidRDefault="00D93F46" w:rsidP="00FE4B86">
      <w:pPr>
        <w:widowControl/>
        <w:autoSpaceDE w:val="0"/>
        <w:autoSpaceDN w:val="0"/>
        <w:adjustRightInd w:val="0"/>
        <w:ind w:firstLine="709"/>
        <w:jc w:val="both"/>
        <w:rPr>
          <w:rFonts w:eastAsia="Times New Roman" w:cs="Times New Roman"/>
          <w:b/>
          <w:color w:val="000000"/>
          <w:lang w:eastAsia="ru-RU"/>
        </w:rPr>
      </w:pPr>
      <w:bookmarkStart w:id="6" w:name="_Hlk520414614"/>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00FE4B86"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00B60191" w:rsidRPr="00C368DB">
        <w:rPr>
          <w:rFonts w:eastAsia="Times New Roman" w:cs="Times New Roman"/>
          <w:b/>
          <w:color w:val="000000"/>
          <w:lang w:eastAsia="ru-RU"/>
        </w:rPr>
        <w:t>позднее 60</w:t>
      </w:r>
      <w:r w:rsidR="00E90FC8" w:rsidRPr="00C368DB">
        <w:rPr>
          <w:rFonts w:eastAsia="Times New Roman" w:cs="Times New Roman"/>
          <w:b/>
          <w:color w:val="000000"/>
          <w:lang w:eastAsia="ru-RU"/>
        </w:rPr>
        <w:t xml:space="preserve"> (</w:t>
      </w:r>
      <w:r w:rsidR="00B60191" w:rsidRPr="00C368DB">
        <w:rPr>
          <w:rFonts w:eastAsia="Times New Roman" w:cs="Times New Roman"/>
          <w:b/>
          <w:color w:val="000000"/>
          <w:lang w:eastAsia="ru-RU"/>
        </w:rPr>
        <w:t>шест</w:t>
      </w:r>
      <w:r w:rsidR="00FE4B86" w:rsidRPr="00C368DB">
        <w:rPr>
          <w:rFonts w:eastAsia="Times New Roman" w:cs="Times New Roman"/>
          <w:b/>
          <w:color w:val="000000"/>
          <w:lang w:eastAsia="ru-RU"/>
        </w:rPr>
        <w:t>и</w:t>
      </w:r>
      <w:r w:rsidR="00B60191" w:rsidRPr="00C368DB">
        <w:rPr>
          <w:rFonts w:eastAsia="Times New Roman" w:cs="Times New Roman"/>
          <w:b/>
          <w:color w:val="000000"/>
          <w:lang w:eastAsia="ru-RU"/>
        </w:rPr>
        <w:t>десят</w:t>
      </w:r>
      <w:r w:rsidR="00FE4B86" w:rsidRPr="00C368DB">
        <w:rPr>
          <w:rFonts w:eastAsia="Times New Roman" w:cs="Times New Roman"/>
          <w:b/>
          <w:color w:val="000000"/>
          <w:lang w:eastAsia="ru-RU"/>
        </w:rPr>
        <w:t>и</w:t>
      </w:r>
      <w:r w:rsidR="00B60191" w:rsidRPr="00C368DB">
        <w:rPr>
          <w:rFonts w:eastAsia="Times New Roman" w:cs="Times New Roman"/>
          <w:b/>
          <w:color w:val="000000"/>
          <w:lang w:eastAsia="ru-RU"/>
        </w:rPr>
        <w:t>)</w:t>
      </w:r>
      <w:r w:rsidR="00E90FC8" w:rsidRPr="00C368DB">
        <w:rPr>
          <w:rFonts w:eastAsia="Times New Roman" w:cs="Times New Roman"/>
          <w:b/>
          <w:color w:val="000000"/>
          <w:lang w:eastAsia="ru-RU"/>
        </w:rPr>
        <w:t xml:space="preserve"> </w:t>
      </w:r>
      <w:r w:rsidR="00B60191" w:rsidRPr="00C368DB">
        <w:rPr>
          <w:rFonts w:eastAsia="Times New Roman" w:cs="Times New Roman"/>
          <w:b/>
          <w:color w:val="000000"/>
          <w:lang w:eastAsia="ru-RU"/>
        </w:rPr>
        <w:t>календарных</w:t>
      </w:r>
      <w:r w:rsidRPr="00C368DB">
        <w:rPr>
          <w:rFonts w:eastAsia="Times New Roman" w:cs="Times New Roman"/>
          <w:b/>
          <w:color w:val="000000"/>
          <w:lang w:eastAsia="ru-RU"/>
        </w:rPr>
        <w:t xml:space="preserve"> дней </w:t>
      </w:r>
      <w:r w:rsidR="00E56F0E" w:rsidRPr="00C368DB">
        <w:rPr>
          <w:rFonts w:eastAsia="Times New Roman" w:cs="Times New Roman"/>
          <w:b/>
          <w:color w:val="000000"/>
          <w:lang w:eastAsia="ru-RU"/>
        </w:rPr>
        <w:t xml:space="preserve">с даты </w:t>
      </w:r>
      <w:r w:rsidRPr="00C368DB">
        <w:rPr>
          <w:rFonts w:eastAsia="Times New Roman" w:cs="Times New Roman"/>
          <w:b/>
          <w:color w:val="000000"/>
          <w:lang w:eastAsia="ru-RU"/>
        </w:rPr>
        <w:t>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bookmarkEnd w:id="6"/>
    <w:p w14:paraId="395E42C1" w14:textId="77777777" w:rsidR="002E7E8E" w:rsidRPr="0074416F" w:rsidRDefault="002E7E8E"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 xml:space="preserve">г. Ульяновск, ул. Андрея Блаженного, д. 15, тел. 8 (927) 819-98-29 </w:t>
      </w:r>
      <w:proofErr w:type="spellStart"/>
      <w:r w:rsidR="003F5EDF" w:rsidRPr="003F5EDF">
        <w:rPr>
          <w:rFonts w:eastAsia="Times New Roman" w:cs="Times New Roman"/>
          <w:b/>
          <w:color w:val="000000"/>
          <w:lang w:eastAsia="ru-RU"/>
        </w:rPr>
        <w:t>Катайкина</w:t>
      </w:r>
      <w:proofErr w:type="spellEnd"/>
      <w:r w:rsidR="003F5EDF" w:rsidRPr="003F5EDF">
        <w:rPr>
          <w:rFonts w:eastAsia="Times New Roman" w:cs="Times New Roman"/>
          <w:b/>
          <w:color w:val="000000"/>
          <w:lang w:eastAsia="ru-RU"/>
        </w:rPr>
        <w:t xml:space="preserve">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1DC24B3"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897E69">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34CF6A34" w14:textId="7E393A9A" w:rsidR="00D93F46" w:rsidRPr="00C368DB" w:rsidRDefault="00D93F46" w:rsidP="00D93F46">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w:t>
      </w:r>
      <w:r w:rsidR="006B5E95">
        <w:rPr>
          <w:rFonts w:eastAsia="Times New Roman" w:cs="Times New Roman"/>
          <w:b/>
          <w:lang w:eastAsia="ru-RU"/>
        </w:rPr>
        <w:t>минима</w:t>
      </w:r>
      <w:r w:rsidRPr="00C368DB">
        <w:rPr>
          <w:rFonts w:eastAsia="Times New Roman" w:cs="Times New Roman"/>
          <w:b/>
          <w:lang w:eastAsia="ru-RU"/>
        </w:rPr>
        <w:t>льной цене аукциона</w:t>
      </w:r>
      <w:r w:rsidR="00FE4B86" w:rsidRPr="00C368DB">
        <w:rPr>
          <w:rFonts w:eastAsia="Times New Roman" w:cs="Times New Roman"/>
          <w:b/>
          <w:lang w:eastAsia="ru-RU"/>
        </w:rPr>
        <w:t xml:space="preserve">, </w:t>
      </w:r>
      <w:r w:rsidR="00FE4B86"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w:t>
      </w:r>
      <w:r w:rsidR="00FE4B86" w:rsidRPr="00C368DB">
        <w:rPr>
          <w:rFonts w:eastAsia="Times New Roman" w:cs="Times New Roman"/>
          <w:b/>
          <w:lang w:eastAsia="ru-RU"/>
        </w:rPr>
        <w:t>не позднее</w:t>
      </w:r>
      <w:r w:rsidRPr="00C368DB">
        <w:rPr>
          <w:rFonts w:eastAsia="Times New Roman" w:cs="Times New Roman"/>
          <w:b/>
          <w:lang w:eastAsia="ru-RU"/>
        </w:rPr>
        <w:t xml:space="preserve"> </w:t>
      </w:r>
      <w:r w:rsidR="00B60191" w:rsidRPr="00C368DB">
        <w:rPr>
          <w:rFonts w:eastAsia="Times New Roman" w:cs="Times New Roman"/>
          <w:b/>
          <w:lang w:eastAsia="ru-RU"/>
        </w:rPr>
        <w:t>60 (шест</w:t>
      </w:r>
      <w:r w:rsidR="00FE4B86" w:rsidRPr="00C368DB">
        <w:rPr>
          <w:rFonts w:eastAsia="Times New Roman" w:cs="Times New Roman"/>
          <w:b/>
          <w:lang w:eastAsia="ru-RU"/>
        </w:rPr>
        <w:t>и</w:t>
      </w:r>
      <w:r w:rsidR="00B60191" w:rsidRPr="00C368DB">
        <w:rPr>
          <w:rFonts w:eastAsia="Times New Roman" w:cs="Times New Roman"/>
          <w:b/>
          <w:lang w:eastAsia="ru-RU"/>
        </w:rPr>
        <w:t>десят</w:t>
      </w:r>
      <w:r w:rsidR="00FE4B86" w:rsidRPr="00C368DB">
        <w:rPr>
          <w:rFonts w:eastAsia="Times New Roman" w:cs="Times New Roman"/>
          <w:b/>
          <w:lang w:eastAsia="ru-RU"/>
        </w:rPr>
        <w:t>и</w:t>
      </w:r>
      <w:r w:rsidR="00B60191" w:rsidRPr="00C368DB">
        <w:rPr>
          <w:rFonts w:eastAsia="Times New Roman" w:cs="Times New Roman"/>
          <w:b/>
          <w:lang w:eastAsia="ru-RU"/>
        </w:rPr>
        <w:t>) календарных дней</w:t>
      </w:r>
      <w:r w:rsidRPr="00C368DB">
        <w:rPr>
          <w:rFonts w:eastAsia="Times New Roman" w:cs="Times New Roman"/>
          <w:b/>
          <w:lang w:eastAsia="ru-RU"/>
        </w:rPr>
        <w:t xml:space="preserve"> с даты признания аукциона несостоявшимся. </w:t>
      </w:r>
    </w:p>
    <w:bookmarkEnd w:id="7"/>
    <w:p w14:paraId="3158D761" w14:textId="39FC2DB7"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080314">
        <w:t>ов</w:t>
      </w:r>
      <w:r w:rsidRPr="008D0F5F">
        <w:t xml:space="preserve"> Продавец передает Объект</w:t>
      </w:r>
      <w:r w:rsidR="00897E69">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666BA96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не поступило ни одной заявки на участие в Аукционе; </w:t>
      </w:r>
    </w:p>
    <w:p w14:paraId="4B4F6E5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претендент не допущен к участию в Аукционе; </w:t>
      </w:r>
    </w:p>
    <w:p w14:paraId="414A200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из участников не сделал предложение о цене; </w:t>
      </w:r>
    </w:p>
    <w:p w14:paraId="53BCA85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к участию в Аукционе допущен только один претендент. </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3808"/>
    <w:rsid w:val="000B60A3"/>
    <w:rsid w:val="000C40EB"/>
    <w:rsid w:val="000D4BC3"/>
    <w:rsid w:val="000D5856"/>
    <w:rsid w:val="000D64A9"/>
    <w:rsid w:val="000E772C"/>
    <w:rsid w:val="000F2B6C"/>
    <w:rsid w:val="000F42B0"/>
    <w:rsid w:val="000F5655"/>
    <w:rsid w:val="000F6ED9"/>
    <w:rsid w:val="000F6FBD"/>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69C2"/>
    <w:rsid w:val="00346B6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574"/>
    <w:rsid w:val="00680070"/>
    <w:rsid w:val="00685725"/>
    <w:rsid w:val="006929F1"/>
    <w:rsid w:val="006979D5"/>
    <w:rsid w:val="006A0692"/>
    <w:rsid w:val="006A2EDB"/>
    <w:rsid w:val="006B5E95"/>
    <w:rsid w:val="006B777D"/>
    <w:rsid w:val="006C05D8"/>
    <w:rsid w:val="006C1EF7"/>
    <w:rsid w:val="006C2CFB"/>
    <w:rsid w:val="006C3E5A"/>
    <w:rsid w:val="006C63EE"/>
    <w:rsid w:val="006D15DE"/>
    <w:rsid w:val="006D38AC"/>
    <w:rsid w:val="006D403D"/>
    <w:rsid w:val="006E4594"/>
    <w:rsid w:val="006E631F"/>
    <w:rsid w:val="006F5433"/>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1A38"/>
    <w:rsid w:val="00E84ECB"/>
    <w:rsid w:val="00E90FC8"/>
    <w:rsid w:val="00E971EE"/>
    <w:rsid w:val="00E975D2"/>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OKAFfePfQkfnFZtVZvkKB+/kv+b0ZZYJyU3FEGHFOp8=</DigestValue>
    </Reference>
    <Reference Type="http://www.w3.org/2000/09/xmldsig#Object" URI="#idOfficeObject">
      <DigestMethod Algorithm="urn:ietf:params:xml:ns:cpxmlsec:algorithms:gostr34112012-256"/>
      <DigestValue>AB9k26OSAS8j4R6Df+FQIhsSh4ENl6ZKiIg8xiDGDpw=</DigestValue>
    </Reference>
    <Reference Type="http://uri.etsi.org/01903#SignedProperties" URI="#idSignedProperties">
      <Transforms>
        <Transform Algorithm="http://www.w3.org/TR/2001/REC-xml-c14n-20010315"/>
      </Transforms>
      <DigestMethod Algorithm="urn:ietf:params:xml:ns:cpxmlsec:algorithms:gostr34112012-256"/>
      <DigestValue>qm4WdlMN4U3LsHPueqd+EA33C6QlY7H33wMOw/NZN7U=</DigestValue>
    </Reference>
  </SignedInfo>
  <SignatureValue>AQSxlm5f5iDDUp+m6U6h2rioIuh5bGfiZ0BpQiR9k5xYZ2SqXCGhDz8LNIm5XXGo
qxp0pAMJhacVih7dOYlbJQ==</SignatureValue>
  <KeyInfo>
    <X509Data>
      <X509Certificate>MIIMBDCCC7GgAwIBAgIRAvGbbgAasFqvQf/iuR0YvCEwCgYIKoUDBwEBAwIwggGA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MB4XDTIzMDYwNzA2MzI0M1oXDTI0MDYwNzA2NDI0M1owggItMTkwNwYDVQQJDDDQ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HdCc0LjQvdGG0LjRhNGA0Ysg0KDQvtGB0YHQuNC4ggoNFnthAAAAAAfVMB0GA1Ud
DgQWBBSxtNubgCGJzO94PBiyJayytXyPZTAKBggqhQMHAQEDAgNBAAQCY/Cl6/F8
Ar7OpqAc4rfVKa3M55YQT1DmDCYzbN6eX6byHDziukuBeYJsfNAMidyoHAaZzsFM
Ub/1+HdEsxs=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O5Ir+nsrXHabTyLyAT+YFo9/yck=</DigestValue>
      </Reference>
      <Reference URI="/word/document.xml?ContentType=application/vnd.openxmlformats-officedocument.wordprocessingml.document.main+xml">
        <DigestMethod Algorithm="http://www.w3.org/2000/09/xmldsig#sha1"/>
        <DigestValue>IDWzN2lL/wagt9YHaf1BoD65BEs=</DigestValue>
      </Reference>
      <Reference URI="/word/endnotes.xml?ContentType=application/vnd.openxmlformats-officedocument.wordprocessingml.endnotes+xml">
        <DigestMethod Algorithm="http://www.w3.org/2000/09/xmldsig#sha1"/>
        <DigestValue>IataUbxl6x1VLQHSEcIo/yARNLs=</DigestValue>
      </Reference>
      <Reference URI="/word/fontTable.xml?ContentType=application/vnd.openxmlformats-officedocument.wordprocessingml.fontTable+xml">
        <DigestMethod Algorithm="http://www.w3.org/2000/09/xmldsig#sha1"/>
        <DigestValue>eA6t637d4HiJLGdGLqeEcvdFdyk=</DigestValue>
      </Reference>
      <Reference URI="/word/footnotes.xml?ContentType=application/vnd.openxmlformats-officedocument.wordprocessingml.footnotes+xml">
        <DigestMethod Algorithm="http://www.w3.org/2000/09/xmldsig#sha1"/>
        <DigestValue>ITOXl2+tQyIrx37FpsWaLjUXwlY=</DigestValue>
      </Reference>
      <Reference URI="/word/header1.xml?ContentType=application/vnd.openxmlformats-officedocument.wordprocessingml.header+xml">
        <DigestMethod Algorithm="http://www.w3.org/2000/09/xmldsig#sha1"/>
        <DigestValue>y33WUpfp6OGczkoWoKDfnFWH3CM=</DigestValue>
      </Reference>
      <Reference URI="/word/numbering.xml?ContentType=application/vnd.openxmlformats-officedocument.wordprocessingml.numbering+xml">
        <DigestMethod Algorithm="http://www.w3.org/2000/09/xmldsig#sha1"/>
        <DigestValue>yPJiFXSzW6DwC17udeKSzzskVwo=</DigestValue>
      </Reference>
      <Reference URI="/word/settings.xml?ContentType=application/vnd.openxmlformats-officedocument.wordprocessingml.settings+xml">
        <DigestMethod Algorithm="http://www.w3.org/2000/09/xmldsig#sha1"/>
        <DigestValue>09zb6moQgf+e+/JqZoDI0ybGmmc=</DigestValue>
      </Reference>
      <Reference URI="/word/styles.xml?ContentType=application/vnd.openxmlformats-officedocument.wordprocessingml.styles+xml">
        <DigestMethod Algorithm="http://www.w3.org/2000/09/xmldsig#sha1"/>
        <DigestValue>PZ1ICSkGSu+YTYxVUbpqq1oSoI4=</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Qln1iySdM638IghqdAVY5flA0xo=</DigestValue>
      </Reference>
    </Manifest>
    <SignatureProperties>
      <SignatureProperty Id="idSignatureTime" Target="#idPackageSignature">
        <mdssi:SignatureTime xmlns:mdssi="http://schemas.openxmlformats.org/package/2006/digital-signature">
          <mdssi:Format>YYYY-MM-DDThh:mm:ssTZD</mdssi:Format>
          <mdssi:Value>2024-03-19T10:04:02Z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2024-03-19T10:04:02Z</xd:SigningTime>
          <xd:SigningCertificate>
            <xd:Cert>
              <xd:CertDigest>
                <DigestMethod Algorithm="http://www.w3.org/2000/09/xmldsig#sha1"/>
                <DigestValue>ukWaG9FKafemOAH8MXqmk12JQ1A=</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1001715717912430761708262164224814922785</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10</cp:revision>
  <cp:lastPrinted>2022-06-30T19:29:00Z</cp:lastPrinted>
  <dcterms:created xsi:type="dcterms:W3CDTF">2024-02-21T06:37:00Z</dcterms:created>
  <dcterms:modified xsi:type="dcterms:W3CDTF">2024-03-07T06:25:00Z</dcterms:modified>
</cp:coreProperties>
</file>