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450" w:type="dxa"/>
            <w:gridSpan w:val="10"/>
            <w:shd w:val="clear" w:color="FFFFFF" w:fill="auto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00409" w:rsidRDefault="00D00409">
            <w:pPr>
              <w:jc w:val="center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Мы, нижеподписавшиеся: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Калимуллин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Идрисович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(07.02.1986г.р.,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гор. Нижнекамск ТАССР,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423558, Татарстан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Нижнекамский р-н, Верхние Челны с, Ибрагимова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дом № 2,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СНИЛС10526231812, ИНН 165112131650, паспорт РФ серия 9216, номер 172476, выдан 15.12.2016, кем выдан Отделом УФМС России по Республике Татарстан в г. Нижнекамске, код подразделения 160-017), в лице Гражданина РФ Финансового управляющего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Мякишковой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Юлии 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олаевны (ИНН 425200647158, СНИЛС 18918836033,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22153), действующего на основании решения Арбитражного суда Республики Татарстан от 21.09.2023г. по делу №А65-20511/2023, именуемый в дальнейшем «Продавец», с одной стороны, и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Гражданин РФ , именуемы</w:t>
            </w:r>
            <w:r>
              <w:rPr>
                <w:rFonts w:ascii="Times New Roman" w:hAnsi="Times New Roman"/>
                <w:sz w:val="20"/>
                <w:szCs w:val="20"/>
              </w:rPr>
              <w:t>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ДоговорКуплиПродажиТекст2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1.1.  В соответствии с Протоколом №  от 27.02.2024г. по продаже имущества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Идрисовича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размещенным на торговой площадке 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</w:t>
            </w:r>
            <w:r>
              <w:rPr>
                <w:rFonts w:ascii="Times New Roman" w:hAnsi="Times New Roman"/>
                <w:sz w:val="20"/>
                <w:szCs w:val="20"/>
              </w:rPr>
              <w:t>этих торгах, а именно: Автомобиль легковой, марка: DAEWOO MATIZ, модель: DAEWOO MATIZ, VIN: XWB4A11BD6A065721, год изготовления: 2006 (далее - Имущество).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D00409" w:rsidRDefault="00D00409">
            <w:pPr>
              <w:jc w:val="both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1.2. Транспортное средство принадлежит супругу Продавца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Калимуллиной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Рамисовне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на праве соб</w:t>
            </w:r>
            <w:r>
              <w:rPr>
                <w:rFonts w:ascii="Times New Roman" w:hAnsi="Times New Roman"/>
                <w:sz w:val="20"/>
                <w:szCs w:val="20"/>
              </w:rPr>
              <w:t>ственности на основании Паспорта транспортного средства , Свидетельства о регистрации ТС 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соответствии с Постановлением Пленума Верховного Суда Российской Федерации от 25 декабря 2018 г. N 48 г. Москва "О некоторых вопросах, связанных с особенностями 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рмирования и распределения конкурсной массы в делах о банкротстве граждан"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7, 8.  В деле о банкротстве гражданина-должника, по общему правилу, подлежит реализации его личное имущество, а также имущество, принадлежащее ему и супругу (бывшему супругу) н</w:t>
            </w:r>
            <w:r>
              <w:rPr>
                <w:rFonts w:ascii="Times New Roman" w:hAnsi="Times New Roman"/>
                <w:sz w:val="20"/>
                <w:szCs w:val="20"/>
              </w:rPr>
              <w:t>а праве общей собственности (пункт 7 статьи 21326 Закона о банкротстве, пункты 1 и 2 статьи 34, статья 36 СК РФ).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Если супругами не заключались внесудебное соглашение о разделе общего имущества, брачный договор либо если судом не производился раздел общего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 супругов, при определении долей супругов в этом имуществе следует исходить из презумпции равенства долей супругов в общем имуществе (пункт 1 статьи 39 СК РФ) и при отсутствии общих обязательств супругов перечислять супругу гражданина-должника по</w:t>
            </w:r>
            <w:r>
              <w:rPr>
                <w:rFonts w:ascii="Times New Roman" w:hAnsi="Times New Roman"/>
                <w:sz w:val="20"/>
                <w:szCs w:val="20"/>
              </w:rPr>
              <w:t>ловину средств, вырученных от реализации общего имущества супругов (до погашения текущих обязательств).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1.3.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 Продаве</w:t>
            </w:r>
            <w:r>
              <w:rPr>
                <w:rFonts w:ascii="Times New Roman" w:hAnsi="Times New Roman"/>
                <w:sz w:val="20"/>
                <w:szCs w:val="20"/>
              </w:rPr>
              <w:t>ц обязуется: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2.1.1. Передать Покупателю Имущество по акту приема-передачи.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2.2. Покупатель обязан: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r>
              <w:rPr>
                <w:rFonts w:ascii="Times New Roman" w:hAnsi="Times New Roman"/>
                <w:sz w:val="20"/>
                <w:szCs w:val="20"/>
              </w:rPr>
              <w:t>2.2.1. Оплатить полную стоимость имущества в соответствии с настоящим договором.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2.2.2. В течение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r>
              <w:rPr>
                <w:rFonts w:ascii="Times New Roman" w:hAnsi="Times New Roman"/>
                <w:sz w:val="20"/>
                <w:szCs w:val="20"/>
              </w:rPr>
              <w:t>3.1. Стоимость имущества составляет: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(Ноль) рублей 00 копеек без </w:t>
            </w:r>
            <w:r>
              <w:rPr>
                <w:rFonts w:ascii="Times New Roman" w:hAnsi="Times New Roman"/>
                <w:sz w:val="20"/>
                <w:szCs w:val="20"/>
              </w:rPr>
              <w:t>учета НДС (подпункт 15 п.2 ст.146 НК), Задаток, оплаченный Покупателем, составляет  (Ноль) рублей 00 копеек, итоговая сумма оплаты Покупателем составляет ( (Ноль) рублей 00 копеек. Цена настоящего договора установлена по результатам проведения торгов, кото</w:t>
            </w:r>
            <w:r>
              <w:rPr>
                <w:rFonts w:ascii="Times New Roman" w:hAnsi="Times New Roman"/>
                <w:sz w:val="20"/>
                <w:szCs w:val="20"/>
              </w:rPr>
              <w:t>рые проводились 27.02.2024г. на сайте https://lot-online.ru/, является окончательной и изменению не подлежит.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3.2. Расходы по переходу права собственности и иные, не указанные в настоящем договоре возможные расходы, необходимые для исполнения договорных о</w:t>
            </w:r>
            <w:r>
              <w:rPr>
                <w:rFonts w:ascii="Times New Roman" w:hAnsi="Times New Roman"/>
                <w:sz w:val="20"/>
                <w:szCs w:val="20"/>
              </w:rPr>
              <w:t>бязательств, несет Покупатель.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3.3. Оплата стоимости имущества по настоящему договору осуществляется Покупателем безналичным платежом на расчетный счет: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ОГРН 1144400000425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</w:t>
            </w:r>
            <w:r>
              <w:rPr>
                <w:rFonts w:ascii="Times New Roman" w:hAnsi="Times New Roman"/>
                <w:sz w:val="20"/>
                <w:szCs w:val="20"/>
              </w:rPr>
              <w:t>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КПП 440101001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Идрисовича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3C4">
              <w:rPr>
                <w:rFonts w:ascii="Times New Roman" w:hAnsi="Times New Roman"/>
                <w:sz w:val="20"/>
                <w:szCs w:val="20"/>
              </w:rPr>
              <w:t xml:space="preserve"> (ИНН 165112131650)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40817810850170972453,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r>
              <w:rPr>
                <w:rFonts w:ascii="Times New Roman" w:hAnsi="Times New Roman"/>
                <w:sz w:val="20"/>
                <w:szCs w:val="20"/>
              </w:rPr>
              <w:t>в течение тридцати дней с даты подписания настоящего договора.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Моментом надлежащей оплаты по настоящему договору считать момент перечисления банком Пок</w:t>
            </w:r>
            <w:r>
              <w:rPr>
                <w:rFonts w:ascii="Times New Roman" w:hAnsi="Times New Roman"/>
                <w:sz w:val="20"/>
                <w:szCs w:val="20"/>
              </w:rPr>
              <w:t>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Продавец в течение 30 (тридцати) рабочих </w:t>
            </w:r>
            <w:r>
              <w:rPr>
                <w:rFonts w:ascii="Times New Roman" w:hAnsi="Times New Roman"/>
                <w:sz w:val="20"/>
                <w:szCs w:val="20"/>
              </w:rPr>
              <w:t>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приема-передачи. Момент подписания акта приема-пе</w:t>
            </w:r>
            <w:r>
              <w:rPr>
                <w:rFonts w:ascii="Times New Roman" w:hAnsi="Times New Roman"/>
                <w:sz w:val="20"/>
                <w:szCs w:val="20"/>
              </w:rPr>
              <w:t>редачи является моментом передачи Имущества Покупателю.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</w:t>
            </w:r>
            <w:r>
              <w:rPr>
                <w:rFonts w:ascii="Times New Roman" w:hAnsi="Times New Roman"/>
                <w:sz w:val="20"/>
                <w:szCs w:val="20"/>
              </w:rPr>
              <w:t>вия осуществляются Продавцом своими силами и за свой счет.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</w:t>
            </w:r>
            <w:r>
              <w:rPr>
                <w:rFonts w:ascii="Times New Roman" w:hAnsi="Times New Roman"/>
                <w:sz w:val="20"/>
                <w:szCs w:val="20"/>
              </w:rPr>
              <w:t>ходит риск случайной гибели или случайного повреждения имущества, переданного Покупателю.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4.4. В случае, если Покупатель уклоняется от подписания акта приема-передачи по истечении 30 (тридцати) рабочих дней со дня исполнения Покупателем всех своих обязате</w:t>
            </w:r>
            <w:r>
              <w:rPr>
                <w:rFonts w:ascii="Times New Roman" w:hAnsi="Times New Roman"/>
                <w:sz w:val="20"/>
                <w:szCs w:val="20"/>
              </w:rPr>
              <w:t>льств, риск случайной гибели или случайного повреждения Имущества переходит на него.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5.1. Право собственности Имуществом возникает у Покупателя с момента подписания акта приема-передачи Имуществом либо по истечении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(тридцати) рабочих дней со дня исполнения Покупателем всех своих обязательств в случае, если Покупатель уклоняется от подписания акта приема-передачи. Покупатель до подписания настоящего договора ознакомился с техническим состоянием Имущества. Имущество п</w:t>
            </w:r>
            <w:r>
              <w:rPr>
                <w:rFonts w:ascii="Times New Roman" w:hAnsi="Times New Roman"/>
                <w:sz w:val="20"/>
                <w:szCs w:val="20"/>
              </w:rPr>
              <w:t>ередано в надлежащем качественном состоянии.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 Сторон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</w:t>
            </w:r>
            <w:r>
              <w:rPr>
                <w:rFonts w:ascii="Times New Roman" w:hAnsi="Times New Roman"/>
                <w:sz w:val="20"/>
                <w:szCs w:val="20"/>
              </w:rPr>
              <w:t>а или неосторожности).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Сторона, не исполнившая или ненадлежащим образом исполнившая свои обязательства по </w:t>
            </w:r>
            <w:r>
              <w:rPr>
                <w:rFonts w:ascii="Times New Roman" w:hAnsi="Times New Roman"/>
                <w:sz w:val="20"/>
                <w:szCs w:val="20"/>
              </w:rPr>
              <w:t>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</w:t>
            </w:r>
            <w:r>
              <w:rPr>
                <w:rFonts w:ascii="Times New Roman" w:hAnsi="Times New Roman"/>
                <w:sz w:val="20"/>
                <w:szCs w:val="20"/>
              </w:rPr>
              <w:t>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</w:t>
            </w:r>
            <w:r>
              <w:rPr>
                <w:rFonts w:ascii="Times New Roman" w:hAnsi="Times New Roman"/>
                <w:sz w:val="20"/>
                <w:szCs w:val="20"/>
              </w:rPr>
              <w:t>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</w:t>
            </w:r>
            <w:r>
              <w:rPr>
                <w:rFonts w:ascii="Times New Roman" w:hAnsi="Times New Roman"/>
                <w:sz w:val="20"/>
                <w:szCs w:val="20"/>
              </w:rPr>
              <w:t>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7.1. Споры, вытекающие из настоящего Договора, подлежат рассмотрению в арбитражном суде в порядке, предусмотренном действующ</w:t>
            </w:r>
            <w:r>
              <w:rPr>
                <w:rFonts w:ascii="Times New Roman" w:hAnsi="Times New Roman"/>
                <w:sz w:val="20"/>
                <w:szCs w:val="20"/>
              </w:rPr>
              <w:t>им законодательством РФ.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8.2. Если покупатель в нарушение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8.3. Право на односторонний отказ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договора (исполнения договора)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данного уведомления, если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случае одностороннего отказа от договора (исполнения договора) полностью или частично, если такой отказ допускается, договор счи</w:t>
            </w:r>
            <w:r>
              <w:rPr>
                <w:rFonts w:ascii="Times New Roman" w:hAnsi="Times New Roman"/>
                <w:sz w:val="20"/>
                <w:szCs w:val="20"/>
              </w:rPr>
              <w:t>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9.1. Настоящий договор вступает в силу с момента его подписания и действует до момента окончания исполнения Сторонами </w:t>
            </w:r>
            <w:r>
              <w:rPr>
                <w:rFonts w:ascii="Times New Roman" w:hAnsi="Times New Roman"/>
                <w:sz w:val="20"/>
                <w:szCs w:val="20"/>
              </w:rPr>
              <w:t>договора своих обязательств по нему.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9.2. Сторонами договора рассмотрены все документы, подготовленные в связи с продажей имущества.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9.3. Настоящий Договор составлен в 2-х экземплярах, имеющих одинаковую юридическую силу.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9.4. По всем вопросам, 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</w:t>
            </w:r>
            <w:r>
              <w:rPr>
                <w:rFonts w:ascii="Times New Roman" w:hAnsi="Times New Roman"/>
                <w:sz w:val="20"/>
                <w:szCs w:val="20"/>
              </w:rPr>
              <w:t>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D00409" w:rsidRDefault="00D333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Калимуллин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Ильгиз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Идрисович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(07.02.1986г.р.,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гор. Нижнекамск ТАССР,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423558, Татарстан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Нижнекамский р-н, Верхние Челны с, Ибрагимова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дом № 2, СНИЛС10526231812, ИНН 165112131650, паспорт РФ серия 9216, номер 172476, выдан 15.12.2016, кем выдан Отделом 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ФМС России по Республике Татарстан в г. Нижнекамске, код подразделения 160-017)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D00409" w:rsidRDefault="00D00409">
            <w:pPr>
              <w:jc w:val="both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ОГРН 1144400000425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КПП 440101001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Идр</w:t>
            </w:r>
            <w:r>
              <w:rPr>
                <w:rFonts w:ascii="Times New Roman" w:hAnsi="Times New Roman"/>
                <w:sz w:val="20"/>
                <w:szCs w:val="20"/>
              </w:rPr>
              <w:t>исовича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3C4">
              <w:rPr>
                <w:rFonts w:ascii="Times New Roman" w:hAnsi="Times New Roman"/>
                <w:sz w:val="20"/>
                <w:szCs w:val="20"/>
              </w:rPr>
              <w:t xml:space="preserve"> (ИНН 165112131650)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40817810850170972453,</w:t>
            </w:r>
            <w:bookmarkStart w:id="0" w:name="_GoBack"/>
            <w:bookmarkEnd w:id="0"/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D00409" w:rsidRDefault="00D00409">
            <w:pPr>
              <w:jc w:val="both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00409"/>
        </w:tc>
        <w:tc>
          <w:tcPr>
            <w:tcW w:w="5670" w:type="dxa"/>
            <w:gridSpan w:val="6"/>
            <w:vMerge/>
            <w:shd w:val="clear" w:color="FFFFFF" w:fill="auto"/>
          </w:tcPr>
          <w:p w:rsidR="00D00409" w:rsidRDefault="00D00409">
            <w:pPr>
              <w:jc w:val="both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00409">
            <w:pPr>
              <w:jc w:val="both"/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D00409" w:rsidRDefault="00D00409">
            <w:pPr>
              <w:jc w:val="both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00409" w:rsidRDefault="00D00409">
            <w:pPr>
              <w:jc w:val="both"/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D00409" w:rsidRDefault="00D00409">
            <w:pPr>
              <w:jc w:val="both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D00409" w:rsidRDefault="00D00409">
            <w:pPr>
              <w:jc w:val="both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Калимуллина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Ильгиза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Идрисовича</w:t>
            </w:r>
            <w:proofErr w:type="spellEnd"/>
          </w:p>
        </w:tc>
        <w:tc>
          <w:tcPr>
            <w:tcW w:w="945" w:type="dxa"/>
            <w:shd w:val="clear" w:color="FFFFFF" w:fill="auto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</w:tcPr>
          <w:p w:rsidR="00D00409" w:rsidRDefault="00D00409">
            <w:pPr>
              <w:jc w:val="both"/>
            </w:pPr>
          </w:p>
        </w:tc>
        <w:tc>
          <w:tcPr>
            <w:tcW w:w="945" w:type="dxa"/>
            <w:shd w:val="clear" w:color="FFFFFF" w:fill="auto"/>
          </w:tcPr>
          <w:p w:rsidR="00D00409" w:rsidRDefault="00D00409">
            <w:pPr>
              <w:jc w:val="both"/>
            </w:pPr>
          </w:p>
        </w:tc>
      </w:tr>
      <w:tr w:rsidR="00D0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D00409" w:rsidRDefault="00D333C4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Мякишкова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D00409" w:rsidRDefault="00D00409">
            <w:pPr>
              <w:jc w:val="both"/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D00409" w:rsidRDefault="00D00409">
            <w:pPr>
              <w:jc w:val="both"/>
            </w:pPr>
          </w:p>
        </w:tc>
      </w:tr>
    </w:tbl>
    <w:p w:rsidR="00000000" w:rsidRDefault="00D333C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409"/>
    <w:rsid w:val="00D00409"/>
    <w:rsid w:val="00D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Новикова</cp:lastModifiedBy>
  <cp:revision>2</cp:revision>
  <dcterms:created xsi:type="dcterms:W3CDTF">2024-01-18T10:22:00Z</dcterms:created>
  <dcterms:modified xsi:type="dcterms:W3CDTF">2024-01-18T10:23:00Z</dcterms:modified>
</cp:coreProperties>
</file>