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22.03.2024</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Сперанская Вера Владиславовна (Афанасьева Вера Владиславовна) (27.10.1955г.р., место рожд: гор. Чебоксары, адрес рег: 428022, Чувашская Республика, Чебоксары г, Аркадия Гайдара ул, дом № 4, квартира 14, СНИЛС06577149295, ИНН 212704202263, паспорт РФ серия 9702, номер 833341, выдан 03.01.2003, кем выдан Калининским РОВД гор. Чебоксары Чувашской Республики , код подразделения 212-024),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Чувашской Республики от 03.08.2022г. по делу №А79-4633/2022,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1.1.  В соответствии с Протоколом №  от 25.03.2024г. по продаже имущества Сперанской Веры Владиславовны,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60" w:hRule="atLeast"/>
        </w:trPr>
        <w:tc>
          <w:tcPr>
            <w:tcW w:w="10395" w:type="dxa"/>
            <w:gridSpan w:val="11"/>
            <w:shd w:val="clear" w:color="FFFFFF" w:fill="FFFFFF"/>
            <w:textDirection w:val="lrTb"/>
            <w:vAlign w:val="bottom"/>
          </w:tcPr>
          <w:p>
            <w:pPr>
              <w:wordWrap w:val="1"/>
              <w:jc w:val="both"/>
            </w:pPr>
            <w:r>
              <w:rPr>
                <w:rFonts w:ascii="Times New Roman" w:hAnsi="Times New Roman"/>
                <w:sz w:val="20"/>
                <w:szCs w:val="20"/>
              </w:rPr>
              <w:t>ЛОТ №1 - Жилой дом, дача, площадь: 25,9м², кадастровый номер: 21:01:021005:3366, земельный участок , площадь: 480м², кадастровый номер: 21:01:021005:101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Право собственности зарегистрировано в установленном законом порядке (далее по тексту - «Имущество»).</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25.03.2024г. на сайте https://lot-online.ru/, и указана в Протоколе  от 25.03.2024г.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  </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Сперанской Веры Владиславовны 40817810450171611126</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2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Сперанская Вера Владиславовна (Афанасьева Вера Владиславовна) (27.10.1955г.р., место рожд: гор. Чебоксары, адрес рег: 428022, Чувашская Республика, Чебоксары г, Аркадия Гайдара ул, дом № 4, квартира 14, СНИЛС06577149295, ИНН 212704202263, паспорт РФ серия 9702, номер 833341, выдан 03.01.2003, кем выдан Калининским РОВД гор. Чебоксары Чувашской Республики , код подразделения 212-024)</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Сперанской Веры Владиславовны 40817810450171611126</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Сперанской Веры Владиславовны</w:t>
            </w: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rHeight w:val="360" w:hRule="atLeast"/>
        </w:trPr>
        <w:tc>
          <w:tcPr>
            <w:tcW w:w="2835" w:type="dxa"/>
            <w:gridSpan w:val="3"/>
            <w:shd w:val="clear" w:color="FFFFFF" w:fill="auto"/>
            <w:textDirection w:val="lrTb"/>
            <w:vAlign w:val="bottom"/>
          </w:tcPr>
          <w:p>
            <w:pPr>
              <w:wordWrap w:val="1"/>
              <w:jc w:val="both"/>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