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B471" w14:textId="4C4179C6" w:rsidR="00FA20EA" w:rsidRDefault="009264DC">
      <w:r>
        <w:t xml:space="preserve">Величина последовательного снижения начальной цены, т.е. «шаг», на который начальная цена последовательно, в установленные сроки подлежит снижению составляет 10% от начальной цены продажи имущества, указанной в сообщении о проведении торгов. </w:t>
      </w:r>
      <w:r w:rsidRPr="00BD7992">
        <w:t>«Шаг снижения» на последнем этапе реализации имущества Должника посредством публичного предложения составляет 9,99% от начальной цены продажи.</w:t>
      </w:r>
    </w:p>
    <w:sectPr w:rsidR="00FA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DC"/>
    <w:rsid w:val="009264DC"/>
    <w:rsid w:val="00F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C27A"/>
  <w15:chartTrackingRefBased/>
  <w15:docId w15:val="{BD1E95C6-2009-4016-832D-E17FE597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2024-03-26T11:34:00Z</dcterms:created>
  <dcterms:modified xsi:type="dcterms:W3CDTF">2024-03-26T11:35:00Z</dcterms:modified>
</cp:coreProperties>
</file>