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7A28186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354157">
        <w:rPr>
          <w:b/>
          <w:color w:val="0070C0"/>
        </w:rPr>
        <w:t>27 мая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</w:t>
      </w:r>
      <w:r w:rsidR="00354157">
        <w:rPr>
          <w:b/>
          <w:color w:val="0070C0"/>
        </w:rPr>
        <w:t>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0B659E0E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354157">
        <w:rPr>
          <w:b/>
          <w:color w:val="0070C0"/>
        </w:rPr>
        <w:t>01 апреля</w:t>
      </w:r>
      <w:r w:rsidR="002114A2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354157">
        <w:rPr>
          <w:b/>
          <w:color w:val="0070C0"/>
        </w:rPr>
        <w:t>21 мая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354157">
        <w:rPr>
          <w:b/>
          <w:color w:val="0070C0"/>
        </w:rPr>
        <w:t>09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1E15546D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354157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 w:rsidR="00354157">
        <w:rPr>
          <w:b/>
          <w:color w:val="0070C0"/>
        </w:rPr>
        <w:t>21</w:t>
      </w:r>
      <w:r w:rsidR="002114A2">
        <w:rPr>
          <w:b/>
          <w:color w:val="0070C0"/>
        </w:rPr>
        <w:t xml:space="preserve"> </w:t>
      </w:r>
      <w:r w:rsidR="00354157">
        <w:rPr>
          <w:b/>
          <w:color w:val="0070C0"/>
        </w:rPr>
        <w:t>мая</w:t>
      </w:r>
      <w:r w:rsidR="002114A2">
        <w:rPr>
          <w:b/>
          <w:color w:val="0070C0"/>
        </w:rPr>
        <w:t xml:space="preserve"> 2</w:t>
      </w:r>
      <w:r w:rsidR="002114A2" w:rsidRPr="008862B6">
        <w:rPr>
          <w:b/>
          <w:color w:val="0070C0"/>
        </w:rPr>
        <w:t>02</w:t>
      </w:r>
      <w:r w:rsidR="002114A2">
        <w:rPr>
          <w:b/>
          <w:color w:val="0070C0"/>
        </w:rPr>
        <w:t>4</w:t>
      </w:r>
      <w:r w:rsidR="002114A2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6A194786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354157">
        <w:rPr>
          <w:b/>
          <w:color w:val="0070C0"/>
        </w:rPr>
        <w:t>24 мая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3741871" w14:textId="7D573FBF" w:rsidR="00D60454" w:rsidRDefault="00875E29">
      <w:pPr>
        <w:ind w:firstLine="720"/>
        <w:jc w:val="both"/>
      </w:pPr>
      <w:bookmarkStart w:id="1" w:name="_heading=h.gjdgxs" w:colFirst="0" w:colLast="0"/>
      <w:bookmarkEnd w:id="1"/>
      <w:r w:rsidRPr="00875E29">
        <w:t xml:space="preserve">Ознакомление с предметом торгов осуществляется в рабочие дни по контактным данным, тел. 8(967) 246-44-35 (мск+2 часа) </w:t>
      </w:r>
      <w:proofErr w:type="spellStart"/>
      <w:r w:rsidRPr="00875E29">
        <w:t>Корник</w:t>
      </w:r>
      <w:proofErr w:type="spellEnd"/>
      <w:r w:rsidRPr="00875E29">
        <w:t xml:space="preserve"> Анна.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F27B83">
          <w:rPr>
            <w:rStyle w:val="af2"/>
          </w:rPr>
          <w:t>ekb@auction-house.ru</w:t>
        </w:r>
      </w:hyperlink>
      <w:r w:rsidRPr="00875E29">
        <w:t xml:space="preserve">.  </w:t>
      </w:r>
    </w:p>
    <w:p w14:paraId="7D1C231E" w14:textId="77777777" w:rsidR="00875E29" w:rsidRDefault="00875E29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1FC969AD" w14:textId="4E528434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="0094399B" w:rsidRPr="0094399B">
        <w:rPr>
          <w:b/>
          <w:bCs/>
        </w:rPr>
        <w:t>Комната</w:t>
      </w:r>
      <w:r w:rsidRPr="009E53F3">
        <w:t xml:space="preserve">, площадью </w:t>
      </w:r>
      <w:r w:rsidR="0094399B" w:rsidRPr="0094399B">
        <w:rPr>
          <w:b/>
          <w:bCs/>
        </w:rPr>
        <w:t>10,9</w:t>
      </w:r>
      <w:r w:rsidRPr="004A6AE5">
        <w:rPr>
          <w:b/>
          <w:bCs/>
        </w:rPr>
        <w:t xml:space="preserve"> кв. м</w:t>
      </w:r>
      <w:r w:rsidRPr="009E53F3">
        <w:t xml:space="preserve"> расположенн</w:t>
      </w:r>
      <w:r w:rsidR="0094399B">
        <w:t>ая</w:t>
      </w:r>
      <w:r w:rsidRPr="009E53F3">
        <w:t xml:space="preserve"> по адресу: </w:t>
      </w:r>
      <w:r w:rsidR="0094399B">
        <w:rPr>
          <w:b/>
          <w:bCs/>
        </w:rPr>
        <w:t>г. Екатеринбург</w:t>
      </w:r>
      <w:r w:rsidR="0003446C">
        <w:rPr>
          <w:b/>
          <w:bCs/>
        </w:rPr>
        <w:t xml:space="preserve">, </w:t>
      </w:r>
      <w:r w:rsidR="0094399B">
        <w:rPr>
          <w:b/>
          <w:bCs/>
        </w:rPr>
        <w:t>улица Прибалтийская</w:t>
      </w:r>
      <w:r w:rsidR="0003446C">
        <w:rPr>
          <w:b/>
          <w:bCs/>
        </w:rPr>
        <w:t xml:space="preserve">, дом </w:t>
      </w:r>
      <w:r w:rsidR="0094399B">
        <w:rPr>
          <w:b/>
          <w:bCs/>
        </w:rPr>
        <w:t>31/Латвийская д. 29</w:t>
      </w:r>
      <w:r w:rsidR="0003446C">
        <w:rPr>
          <w:b/>
          <w:bCs/>
        </w:rPr>
        <w:t>,</w:t>
      </w:r>
      <w:r w:rsidR="0094399B">
        <w:rPr>
          <w:b/>
          <w:bCs/>
        </w:rPr>
        <w:t xml:space="preserve"> к</w:t>
      </w:r>
      <w:r w:rsidR="00354157">
        <w:rPr>
          <w:b/>
          <w:bCs/>
        </w:rPr>
        <w:t>в</w:t>
      </w:r>
      <w:r w:rsidR="0094399B">
        <w:rPr>
          <w:b/>
          <w:bCs/>
        </w:rPr>
        <w:t xml:space="preserve">. 9, </w:t>
      </w:r>
      <w:r w:rsidR="0094399B" w:rsidRPr="0094399B">
        <w:t>первый этаж</w:t>
      </w:r>
      <w:r w:rsidR="0094399B">
        <w:rPr>
          <w:b/>
          <w:bCs/>
        </w:rPr>
        <w:t>.</w:t>
      </w:r>
      <w:r w:rsidRPr="009E53F3">
        <w:t xml:space="preserve"> </w:t>
      </w:r>
      <w:r w:rsidR="0094399B" w:rsidRPr="009E53F3">
        <w:t>Кадастровый</w:t>
      </w:r>
      <w:r w:rsidR="0094399B">
        <w:t xml:space="preserve"> </w:t>
      </w:r>
      <w:r w:rsidR="0003446C">
        <w:t>номер</w:t>
      </w:r>
      <w:r w:rsidRPr="009E53F3">
        <w:t xml:space="preserve"> </w:t>
      </w:r>
      <w:r w:rsidR="0094399B">
        <w:t>66:41:0609027:549</w:t>
      </w:r>
      <w:r w:rsidRPr="009E53F3">
        <w:t xml:space="preserve">, принадлежащий </w:t>
      </w:r>
      <w:r w:rsid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="0094399B">
        <w:t>66:41:0609027:549</w:t>
      </w:r>
      <w:r w:rsidRPr="009E53F3">
        <w:t>-</w:t>
      </w:r>
      <w:r w:rsidR="0094399B">
        <w:t>66/199/2023-10</w:t>
      </w:r>
      <w:r w:rsidRPr="009E53F3">
        <w:t xml:space="preserve"> от </w:t>
      </w:r>
      <w:r w:rsidR="0094399B">
        <w:t>18.10.2023</w:t>
      </w:r>
      <w:r w:rsidRPr="009E53F3">
        <w:t>;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2315132A" w14:textId="6271C0BE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94399B">
        <w:rPr>
          <w:b/>
          <w:color w:val="0070C0"/>
        </w:rPr>
        <w:t>505</w:t>
      </w:r>
      <w:r w:rsidR="006A2A8F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94399B">
        <w:rPr>
          <w:bCs/>
          <w:color w:val="000000" w:themeColor="text1"/>
        </w:rPr>
        <w:t>Пятьсот пять</w:t>
      </w:r>
      <w:r w:rsidR="006A2A8F">
        <w:rPr>
          <w:bCs/>
          <w:color w:val="000000" w:themeColor="text1"/>
        </w:rPr>
        <w:t xml:space="preserve">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5469B6" w:rsidRPr="00CD21B9">
        <w:rPr>
          <w:bCs/>
        </w:rPr>
        <w:t xml:space="preserve">НДС </w:t>
      </w:r>
      <w:r w:rsidR="006A2A8F">
        <w:rPr>
          <w:bCs/>
        </w:rPr>
        <w:t>не облагается</w:t>
      </w:r>
      <w:r w:rsidR="0076234B" w:rsidRPr="00CD21B9">
        <w:rPr>
          <w:bCs/>
        </w:rPr>
        <w:t>.</w:t>
      </w:r>
      <w:r w:rsidRPr="00CD21B9">
        <w:rPr>
          <w:bCs/>
        </w:rPr>
        <w:t xml:space="preserve"> </w:t>
      </w:r>
    </w:p>
    <w:p w14:paraId="7A8CF6BD" w14:textId="043A8022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94399B">
        <w:rPr>
          <w:b/>
          <w:color w:val="0070C0"/>
        </w:rPr>
        <w:t>25 250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94399B">
        <w:rPr>
          <w:bCs/>
          <w:color w:val="000000" w:themeColor="text1"/>
        </w:rPr>
        <w:t xml:space="preserve">Двадцать пять </w:t>
      </w:r>
      <w:r w:rsidR="002114A2">
        <w:rPr>
          <w:bCs/>
          <w:color w:val="000000" w:themeColor="text1"/>
        </w:rPr>
        <w:t xml:space="preserve">тысяч </w:t>
      </w:r>
      <w:r w:rsidR="0094399B">
        <w:rPr>
          <w:bCs/>
          <w:color w:val="000000" w:themeColor="text1"/>
        </w:rPr>
        <w:t>двести пятьдесят</w:t>
      </w:r>
      <w:r w:rsidRPr="00BA38FF">
        <w:rPr>
          <w:bCs/>
          <w:color w:val="000000" w:themeColor="text1"/>
        </w:rPr>
        <w:t xml:space="preserve">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5798D780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4399B">
        <w:rPr>
          <w:b/>
          <w:bCs/>
          <w:color w:val="0070C0"/>
        </w:rPr>
        <w:t>10 10</w:t>
      </w:r>
      <w:r w:rsidR="00510FDB"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</w:t>
      </w:r>
      <w:r w:rsidRPr="00BA38FF">
        <w:rPr>
          <w:color w:val="000000" w:themeColor="text1"/>
        </w:rPr>
        <w:t>(</w:t>
      </w:r>
      <w:r w:rsidR="0094399B">
        <w:rPr>
          <w:color w:val="000000" w:themeColor="text1"/>
        </w:rPr>
        <w:t>Десять тысяч сто</w:t>
      </w:r>
      <w:r w:rsidRPr="00BA38FF">
        <w:rPr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</w:t>
      </w:r>
      <w:r>
        <w:lastRenderedPageBreak/>
        <w:t>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32FE4E2C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</w:t>
      </w:r>
      <w:r w:rsidRPr="002114A2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>позднее</w:t>
      </w:r>
      <w:r w:rsidRPr="002114A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0618B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21 мая</w:t>
      </w:r>
      <w:r w:rsidR="002114A2" w:rsidRPr="002114A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2024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0618B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09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A6B25">
        <w:rPr>
          <w:highlight w:val="lightGray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1397AA0D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0618B0">
        <w:rPr>
          <w:b/>
          <w:color w:val="0070C0"/>
          <w:u w:val="single"/>
        </w:rPr>
        <w:t>01 апреля</w:t>
      </w:r>
      <w:r w:rsidR="002114A2">
        <w:rPr>
          <w:b/>
          <w:color w:val="0070C0"/>
          <w:u w:val="single"/>
        </w:rPr>
        <w:t xml:space="preserve">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1CB0" w14:textId="77777777" w:rsidR="00F00EAC" w:rsidRDefault="00F00EAC" w:rsidP="00183809">
      <w:r>
        <w:separator/>
      </w:r>
    </w:p>
  </w:endnote>
  <w:endnote w:type="continuationSeparator" w:id="0">
    <w:p w14:paraId="41837306" w14:textId="77777777" w:rsidR="00F00EAC" w:rsidRDefault="00F00EAC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8460" w14:textId="77777777" w:rsidR="00F00EAC" w:rsidRDefault="00F00EAC" w:rsidP="00183809">
      <w:r>
        <w:separator/>
      </w:r>
    </w:p>
  </w:footnote>
  <w:footnote w:type="continuationSeparator" w:id="0">
    <w:p w14:paraId="73E8C7F5" w14:textId="77777777" w:rsidR="00F00EAC" w:rsidRDefault="00F00EAC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3446C"/>
    <w:rsid w:val="000571EC"/>
    <w:rsid w:val="00061379"/>
    <w:rsid w:val="000618B0"/>
    <w:rsid w:val="00063FB0"/>
    <w:rsid w:val="000747B7"/>
    <w:rsid w:val="00080A7D"/>
    <w:rsid w:val="00083DEE"/>
    <w:rsid w:val="00087D69"/>
    <w:rsid w:val="000A065F"/>
    <w:rsid w:val="000F4E9D"/>
    <w:rsid w:val="00170516"/>
    <w:rsid w:val="00183809"/>
    <w:rsid w:val="00196F8C"/>
    <w:rsid w:val="001A486F"/>
    <w:rsid w:val="002114A2"/>
    <w:rsid w:val="00283CFC"/>
    <w:rsid w:val="002A3725"/>
    <w:rsid w:val="002B0A09"/>
    <w:rsid w:val="002B43F7"/>
    <w:rsid w:val="00305EB4"/>
    <w:rsid w:val="00316BA5"/>
    <w:rsid w:val="003313B7"/>
    <w:rsid w:val="00354157"/>
    <w:rsid w:val="00382AB3"/>
    <w:rsid w:val="004232B4"/>
    <w:rsid w:val="004828B9"/>
    <w:rsid w:val="004A6AE5"/>
    <w:rsid w:val="00510FDB"/>
    <w:rsid w:val="005469B6"/>
    <w:rsid w:val="00563013"/>
    <w:rsid w:val="00564BD7"/>
    <w:rsid w:val="005972CC"/>
    <w:rsid w:val="005B1A65"/>
    <w:rsid w:val="005C062E"/>
    <w:rsid w:val="005C7C9F"/>
    <w:rsid w:val="006062E3"/>
    <w:rsid w:val="00631324"/>
    <w:rsid w:val="00641D64"/>
    <w:rsid w:val="00663454"/>
    <w:rsid w:val="00687E57"/>
    <w:rsid w:val="006949EF"/>
    <w:rsid w:val="006A2413"/>
    <w:rsid w:val="006A2A8F"/>
    <w:rsid w:val="006A6119"/>
    <w:rsid w:val="006B459D"/>
    <w:rsid w:val="006B63E1"/>
    <w:rsid w:val="006E01E4"/>
    <w:rsid w:val="006E2BAD"/>
    <w:rsid w:val="00722772"/>
    <w:rsid w:val="0076234B"/>
    <w:rsid w:val="007D701D"/>
    <w:rsid w:val="007F573B"/>
    <w:rsid w:val="008215B4"/>
    <w:rsid w:val="00835CDC"/>
    <w:rsid w:val="008446B9"/>
    <w:rsid w:val="00856086"/>
    <w:rsid w:val="00875E29"/>
    <w:rsid w:val="008862B6"/>
    <w:rsid w:val="008A1B1C"/>
    <w:rsid w:val="008B0D1B"/>
    <w:rsid w:val="0094399B"/>
    <w:rsid w:val="0099103D"/>
    <w:rsid w:val="00996E61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BE7E90"/>
    <w:rsid w:val="00C30CE6"/>
    <w:rsid w:val="00C57F4D"/>
    <w:rsid w:val="00C645B3"/>
    <w:rsid w:val="00C96C52"/>
    <w:rsid w:val="00CD042D"/>
    <w:rsid w:val="00CD21B9"/>
    <w:rsid w:val="00CD4F0F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66803"/>
    <w:rsid w:val="00E66923"/>
    <w:rsid w:val="00E75740"/>
    <w:rsid w:val="00EB4E8A"/>
    <w:rsid w:val="00ED1128"/>
    <w:rsid w:val="00F00EAC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</cp:revision>
  <dcterms:created xsi:type="dcterms:W3CDTF">2024-02-22T05:11:00Z</dcterms:created>
  <dcterms:modified xsi:type="dcterms:W3CDTF">2024-03-29T00:35:00Z</dcterms:modified>
</cp:coreProperties>
</file>