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Габдулин Султан Жумагалиевич (19.06.1998г.р., место рожд: г. Энгельс Саратовская область, адрес рег: 413322, Саратовская обл, Питерский р-н, Моршанка с, Революционная ул, дом № 22, СНИЛС09708680108, ИНН 642601140375, паспорт РФ серия 6318, номер 483378, выдан 03.07.2018, кем выдан ГУ МВД России по Саратовской области, код подразделения 640-032),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22.11.2023г. по делу №А57-28536/2023,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Габдулина Султана Жумагалиевича,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217030 , модель: ЛАДА ПРИОРА, VIN: XTA21703090173011,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5800819363, Свидетельства о регистрации ТС 9940624181.</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имеются.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sz w:val="16"/>
              </w:rPr>
            </w:pPr>
            <w:r>
              <w:rPr>
                <w:rFonts w:ascii="Times New Roman" w:hAnsi="Times New Roman"/>
                <w:kern w:val="0"/>
                <w:sz w:val="20"/>
                <w:szCs w:val="20"/>
              </w:rPr>
              <w:t xml:space="preserve">1.4. Имущество обеспечено обременением в виде залога в пользу ООО МФК "КЭШДРАЙВ" (ИНН 7459006240, ОГРН </w:t>
            </w:r>
            <w:r>
              <w:rPr>
                <w:rFonts w:ascii="Times New Roman" w:hAnsi="Times New Roman"/>
                <w:sz w:val="20"/>
                <w:szCs w:val="20"/>
                <w:shd w:fill="auto" w:val="clear"/>
              </w:rPr>
              <w:t>1187456022049</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Габдулина Султана Жумагалиевича 40817810050173573206 (ИНН  642601140375)</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Габдулин Султан Жумагалиевич (19.06.1998г.р., место рожд: г. Энгельс Саратовская область, адрес рег: 413322, Саратовская обл, Питерский р-н, Моршанка с, Революционная ул, дом № 22, СНИЛС09708680108, ИНН 642601140375, паспорт РФ серия 6318, номер 483378, выдан 03.07.2018, кем выдан ГУ МВД России по Саратовской области, код подразделения 640-032)</w:t>
            </w:r>
          </w:p>
        </w:tc>
        <w:tc>
          <w:tcPr>
            <w:tcW w:w="5670" w:type="dxa"/>
            <w:gridSpan w:val="6"/>
            <w:vMerge w:val="restart"/>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Габдулина Султана Жумагалиевича 40817810050173573206 (ИНН 642601140375).</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Габдулина Султана Жумагалиевича</w:t>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Кайзер Оксана Викторовна</w:t>
            </w:r>
          </w:p>
        </w:tc>
        <w:tc>
          <w:tcPr>
            <w:tcW w:w="2836"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1155</Words>
  <Characters>8220</Characters>
  <CharactersWithSpaces>9344</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2024-02-20T17:10:14Z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