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ПРОЕКТ ДОГОВОРА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94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____________________________________________________--, в лице Гражданина РФ Финансового управляющего _____________________________, действующего на основании решения Арбитражного суда ____________. по делу №__________,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_________г. по продаже имущества ____________________,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________________________________________</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____г. на сайте https://lot-online.ru/, и указана в Протоколе  от _____г.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w:t>
              <w:br/>
              <w:t xml:space="preserve">Р/С  </w:t>
              <w:br/>
              <w:t xml:space="preserve">ИНН БАНКА  </w:t>
              <w:br/>
              <w:t xml:space="preserve">БИК  </w:t>
              <w:br/>
              <w:t xml:space="preserve">КР/СЧ  </w:t>
              <w:br/>
              <w:t xml:space="preserve">НАИМЕНОВАНИЕ БАНКА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w:t>
              <w:br/>
              <w:t xml:space="preserve">Р/С  </w:t>
              <w:br/>
              <w:t xml:space="preserve">ИНН БАНКА  </w:t>
              <w:br/>
              <w:t xml:space="preserve">БИК  </w:t>
              <w:br/>
              <w:t xml:space="preserve">КР/СЧ  </w:t>
              <w:br/>
              <w:t xml:space="preserve">НАИМЕНОВАНИЕ БАНКА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___________________________</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____________________________</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932</Words>
  <Characters>7115</Characters>
  <CharactersWithSpaces>8522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2024-04-04T11:44:44Z</dcterms:modified>
  <cp:revision>1</cp:revision>
  <dc:subject/>
  <dc:title/>
</cp:coreProperties>
</file>