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0366F85E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>____» _________ 202</w:t>
      </w:r>
      <w:r w:rsidR="00E85262">
        <w:rPr>
          <w:rFonts w:ascii="Arial" w:hAnsi="Arial" w:cs="Arial"/>
          <w:b/>
          <w:bCs/>
          <w:sz w:val="22"/>
          <w:szCs w:val="22"/>
        </w:rPr>
        <w:t>4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0267CA47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="005A06E7">
        <w:rPr>
          <w:rFonts w:ascii="Arial" w:hAnsi="Arial" w:cs="Arial"/>
          <w:color w:val="000000"/>
          <w:sz w:val="22"/>
          <w:szCs w:val="22"/>
        </w:rPr>
        <w:t>(далее – Д</w:t>
      </w:r>
      <w:r w:rsidRPr="00D34B86">
        <w:rPr>
          <w:rFonts w:ascii="Arial" w:hAnsi="Arial" w:cs="Arial"/>
          <w:color w:val="000000"/>
          <w:sz w:val="22"/>
          <w:szCs w:val="22"/>
        </w:rPr>
        <w:t>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5CDA78FF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обществом «Российский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</w:t>
      </w:r>
      <w:proofErr w:type="gramStart"/>
      <w:r w:rsidR="00E85262" w:rsidRPr="00E85262">
        <w:rPr>
          <w:rFonts w:ascii="Arial" w:hAnsi="Arial" w:cs="Arial"/>
          <w:sz w:val="22"/>
          <w:szCs w:val="22"/>
        </w:rPr>
        <w:t>23  от</w:t>
      </w:r>
      <w:proofErr w:type="gramEnd"/>
      <w:r w:rsidR="00E85262" w:rsidRPr="00E85262">
        <w:rPr>
          <w:rFonts w:ascii="Arial" w:hAnsi="Arial" w:cs="Arial"/>
          <w:sz w:val="22"/>
          <w:szCs w:val="22"/>
        </w:rPr>
        <w:t xml:space="preserve">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1049E21C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обязуется передать в собственность Покупателя 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недвижимости, указанный в п. 2.2 настоящего Договора, а </w:t>
      </w:r>
      <w:r w:rsidR="00A42830">
        <w:rPr>
          <w:rFonts w:ascii="Arial" w:hAnsi="Arial" w:cs="Arial"/>
          <w:sz w:val="22"/>
          <w:szCs w:val="22"/>
        </w:rPr>
        <w:t>Покупатель обязуется принять эти</w:t>
      </w:r>
      <w:r w:rsidRPr="00D34B86">
        <w:rPr>
          <w:rFonts w:ascii="Arial" w:hAnsi="Arial" w:cs="Arial"/>
          <w:sz w:val="22"/>
          <w:szCs w:val="22"/>
        </w:rPr>
        <w:t xml:space="preserve"> 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57296761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Предметом настоя</w:t>
      </w:r>
      <w:r w:rsidR="00A42830">
        <w:rPr>
          <w:rFonts w:ascii="Arial" w:hAnsi="Arial" w:cs="Arial"/>
          <w:sz w:val="22"/>
          <w:szCs w:val="22"/>
        </w:rPr>
        <w:t>щего Договора являются следующие</w:t>
      </w:r>
      <w:r w:rsidRPr="00D34B86">
        <w:rPr>
          <w:rFonts w:ascii="Arial" w:hAnsi="Arial" w:cs="Arial"/>
          <w:sz w:val="22"/>
          <w:szCs w:val="22"/>
        </w:rPr>
        <w:t xml:space="preserve"> 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недвижимости, ранее и далее по тексту именуемый «Объект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bookmarkStart w:id="1" w:name="_GoBack"/>
      <w:r w:rsidR="00E47810">
        <w:rPr>
          <w:rFonts w:ascii="Arial" w:hAnsi="Arial" w:cs="Arial"/>
          <w:sz w:val="22"/>
          <w:szCs w:val="22"/>
        </w:rPr>
        <w:t>»</w:t>
      </w:r>
      <w:bookmarkEnd w:id="1"/>
      <w:r w:rsidR="00F01668">
        <w:rPr>
          <w:rFonts w:ascii="Arial" w:hAnsi="Arial" w:cs="Arial"/>
          <w:sz w:val="22"/>
          <w:szCs w:val="22"/>
        </w:rPr>
        <w:t xml:space="preserve">, </w:t>
      </w:r>
      <w:r w:rsidR="00E47810">
        <w:rPr>
          <w:rFonts w:ascii="Arial" w:hAnsi="Arial" w:cs="Arial"/>
          <w:sz w:val="22"/>
          <w:szCs w:val="22"/>
        </w:rPr>
        <w:t>«</w:t>
      </w:r>
      <w:r w:rsidR="00F01668">
        <w:rPr>
          <w:rFonts w:ascii="Arial" w:hAnsi="Arial" w:cs="Arial"/>
          <w:sz w:val="22"/>
          <w:szCs w:val="22"/>
        </w:rPr>
        <w:t>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»: </w:t>
      </w:r>
    </w:p>
    <w:p w14:paraId="27E0C00F" w14:textId="569933C1" w:rsidR="00A42830" w:rsidRDefault="00A42830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2.2.1 Жилой дом, общей площадью ________,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>
        <w:rPr>
          <w:rFonts w:ascii="Arial" w:hAnsi="Arial" w:cs="Arial"/>
          <w:sz w:val="22"/>
          <w:szCs w:val="22"/>
        </w:rPr>
        <w:t>ий</w:t>
      </w:r>
      <w:r w:rsidR="00575317" w:rsidRPr="00D34B86">
        <w:rPr>
          <w:rFonts w:ascii="Arial" w:hAnsi="Arial" w:cs="Arial"/>
          <w:sz w:val="22"/>
          <w:szCs w:val="22"/>
        </w:rPr>
        <w:t xml:space="preserve">ся по адресу: </w:t>
      </w:r>
      <w:r w:rsidR="00291919"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="00291919"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>принадлежащ</w:t>
      </w:r>
      <w:r w:rsidR="005A06E7">
        <w:rPr>
          <w:rFonts w:ascii="Arial" w:eastAsia="Courier New" w:hAnsi="Arial" w:cs="Arial"/>
          <w:sz w:val="22"/>
          <w:szCs w:val="22"/>
        </w:rPr>
        <w:t>ий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="00291919"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="00291919"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="00291919"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, расположенный на земельном участке, указанном в п. 2.2.2 Договора.</w:t>
      </w:r>
    </w:p>
    <w:p w14:paraId="7FDF6642" w14:textId="4F4CA892" w:rsidR="004F1A73" w:rsidRPr="00D34B86" w:rsidRDefault="00A42830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2.2.2 Земельный участок, площадью____________, категория земель__________, вид разрешенного использования ___________________,</w:t>
      </w:r>
      <w:r w:rsidRPr="00D34B86">
        <w:rPr>
          <w:rFonts w:ascii="Arial" w:hAnsi="Arial" w:cs="Arial"/>
          <w:sz w:val="22"/>
          <w:szCs w:val="22"/>
        </w:rPr>
        <w:t xml:space="preserve"> находящ</w:t>
      </w:r>
      <w:r>
        <w:rPr>
          <w:rFonts w:ascii="Arial" w:hAnsi="Arial" w:cs="Arial"/>
          <w:sz w:val="22"/>
          <w:szCs w:val="22"/>
        </w:rPr>
        <w:t>ий</w:t>
      </w:r>
      <w:r w:rsidRPr="00D34B86">
        <w:rPr>
          <w:rFonts w:ascii="Arial" w:hAnsi="Arial" w:cs="Arial"/>
          <w:sz w:val="22"/>
          <w:szCs w:val="22"/>
        </w:rPr>
        <w:t xml:space="preserve">ся по адресу: ______________________________, кадастровый номер: ______________________________, </w:t>
      </w:r>
      <w:r>
        <w:rPr>
          <w:rFonts w:ascii="Arial" w:eastAsia="Courier New" w:hAnsi="Arial" w:cs="Arial"/>
          <w:sz w:val="22"/>
          <w:szCs w:val="22"/>
        </w:rPr>
        <w:t>принадлежащий</w:t>
      </w:r>
      <w:r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bCs/>
          <w:sz w:val="22"/>
          <w:szCs w:val="22"/>
        </w:rPr>
        <w:t>АО «</w:t>
      </w:r>
      <w:r>
        <w:rPr>
          <w:rFonts w:ascii="Arial" w:hAnsi="Arial" w:cs="Arial"/>
          <w:bCs/>
          <w:sz w:val="22"/>
          <w:szCs w:val="22"/>
        </w:rPr>
        <w:t>Полюс Вернинское</w:t>
      </w:r>
      <w:r w:rsidRPr="00D34B86">
        <w:rPr>
          <w:rFonts w:ascii="Arial" w:hAnsi="Arial" w:cs="Arial"/>
          <w:bCs/>
          <w:sz w:val="22"/>
          <w:szCs w:val="22"/>
        </w:rPr>
        <w:t>»</w:t>
      </w:r>
      <w:r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 xml:space="preserve">_.____ года сделана запись о регистрации №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2" w:name="page11"/>
      <w:bookmarkEnd w:id="2"/>
    </w:p>
    <w:p w14:paraId="36F77857" w14:textId="4E6363A8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гарантирует, что на момент заключения </w:t>
      </w:r>
      <w:r w:rsidR="00A42830">
        <w:rPr>
          <w:rFonts w:ascii="Arial" w:hAnsi="Arial" w:cs="Arial"/>
          <w:sz w:val="22"/>
          <w:szCs w:val="22"/>
        </w:rPr>
        <w:t xml:space="preserve">Договора, указанные </w:t>
      </w:r>
      <w:r w:rsidRPr="00D34B86">
        <w:rPr>
          <w:rFonts w:ascii="Arial" w:hAnsi="Arial" w:cs="Arial"/>
          <w:sz w:val="22"/>
          <w:szCs w:val="22"/>
        </w:rPr>
        <w:t>в п. 2.2. Объект</w:t>
      </w:r>
      <w:r w:rsidR="00A42830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недвижимости никому другому не продан, не подарен, не заложен, в споре, под арестом и запретом не состоит.</w:t>
      </w:r>
    </w:p>
    <w:p w14:paraId="4ED0687D" w14:textId="6BF94C26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A42830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41EE296C" w:rsidR="007E67CD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A42830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4EAE938C" w:rsidR="008D33CA" w:rsidRDefault="008D33CA" w:rsidP="008D33CA">
      <w:pPr>
        <w:widowControl w:val="0"/>
        <w:numPr>
          <w:ilvl w:val="0"/>
          <w:numId w:val="28"/>
        </w:numPr>
        <w:tabs>
          <w:tab w:val="clear" w:pos="644"/>
          <w:tab w:val="num" w:pos="284"/>
          <w:tab w:val="num" w:pos="89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r w:rsidR="00A42830">
        <w:rPr>
          <w:rFonts w:ascii="Arial" w:hAnsi="Arial" w:cs="Arial"/>
          <w:sz w:val="22"/>
          <w:szCs w:val="22"/>
        </w:rPr>
        <w:t>Объектами</w:t>
      </w:r>
      <w:r>
        <w:rPr>
          <w:rFonts w:ascii="Arial" w:hAnsi="Arial" w:cs="Arial"/>
          <w:sz w:val="22"/>
          <w:szCs w:val="22"/>
        </w:rPr>
        <w:t xml:space="preserve">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</w:t>
      </w:r>
      <w:r w:rsidR="005A06E7">
        <w:rPr>
          <w:rFonts w:ascii="Arial" w:hAnsi="Arial" w:cs="Arial"/>
          <w:sz w:val="22"/>
          <w:szCs w:val="22"/>
        </w:rPr>
        <w:t>их</w:t>
      </w:r>
      <w:r w:rsidRPr="008D33CA">
        <w:rPr>
          <w:rFonts w:ascii="Arial" w:hAnsi="Arial" w:cs="Arial"/>
          <w:sz w:val="22"/>
          <w:szCs w:val="22"/>
        </w:rPr>
        <w:t xml:space="preserve">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22BFF730" w14:textId="4E2FD15B" w:rsidR="00AE07D6" w:rsidRDefault="00AE07D6" w:rsidP="00AE07D6">
      <w:pPr>
        <w:widowControl w:val="0"/>
        <w:numPr>
          <w:ilvl w:val="0"/>
          <w:numId w:val="28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Покупатель на момент подписания Договора ознакомлен с состоянием Объект</w:t>
      </w:r>
      <w:r w:rsidR="005A06E7">
        <w:rPr>
          <w:rFonts w:ascii="Arial" w:hAnsi="Arial" w:cs="Arial"/>
          <w:sz w:val="22"/>
          <w:szCs w:val="22"/>
        </w:rPr>
        <w:t>ов недвижимости</w:t>
      </w:r>
      <w:r>
        <w:rPr>
          <w:rFonts w:ascii="Arial" w:hAnsi="Arial" w:cs="Arial"/>
          <w:sz w:val="22"/>
          <w:szCs w:val="22"/>
        </w:rPr>
        <w:t>, претензий к</w:t>
      </w:r>
      <w:r w:rsidR="005A06E7">
        <w:rPr>
          <w:rFonts w:ascii="Arial" w:hAnsi="Arial" w:cs="Arial"/>
          <w:sz w:val="22"/>
          <w:szCs w:val="22"/>
        </w:rPr>
        <w:t xml:space="preserve"> Покупателю по состоянию Объектов</w:t>
      </w:r>
      <w:r>
        <w:rPr>
          <w:rFonts w:ascii="Arial" w:hAnsi="Arial" w:cs="Arial"/>
          <w:sz w:val="22"/>
          <w:szCs w:val="22"/>
        </w:rPr>
        <w:t xml:space="preserve"> не имеет.</w:t>
      </w:r>
    </w:p>
    <w:p w14:paraId="5D66E56B" w14:textId="77777777" w:rsidR="00AE07D6" w:rsidRPr="00D34B86" w:rsidRDefault="00AE07D6" w:rsidP="00AE07D6">
      <w:pPr>
        <w:widowControl w:val="0"/>
        <w:tabs>
          <w:tab w:val="num" w:pos="892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FFD0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B7188" w14:textId="162E25D1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Цена </w:t>
      </w:r>
      <w:r w:rsidR="00A42830">
        <w:rPr>
          <w:rFonts w:ascii="Arial" w:hAnsi="Arial" w:cs="Arial"/>
          <w:b/>
          <w:bCs/>
          <w:sz w:val="22"/>
          <w:szCs w:val="22"/>
        </w:rPr>
        <w:t>Объектов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6E413446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цена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68ED3470" w:rsidR="009311AB" w:rsidRPr="00D34B86" w:rsidRDefault="009311AB" w:rsidP="00A42830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цену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 не включаются расходы по оформлению купли-продажи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2CCB8A17" w:rsidR="00DA724E" w:rsidRPr="00D34B86" w:rsidRDefault="009311AB" w:rsidP="00A42830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Цена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3FAEE038" w:rsidR="003333C0" w:rsidRPr="00D34B86" w:rsidRDefault="003333C0" w:rsidP="00A4283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Покупатель вправе досрочно исполнить свои обязательства по оплате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>.</w:t>
      </w:r>
    </w:p>
    <w:p w14:paraId="1F9DC1C3" w14:textId="541D8936" w:rsidR="003333C0" w:rsidRPr="00D34B86" w:rsidRDefault="003333C0" w:rsidP="00A4283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Моментом надлежащего исполнения обязанности Покупателя по оплате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является дата поступления денежных средств на расчетный счет Продавца в сумме и в сроки, указанные в настоящем Договоре</w:t>
      </w:r>
    </w:p>
    <w:p w14:paraId="1C5BCC11" w14:textId="77777777" w:rsidR="009311AB" w:rsidRPr="00D34B86" w:rsidRDefault="009311AB" w:rsidP="00A42830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487155D9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</w:t>
      </w:r>
      <w:r w:rsidR="00A42830">
        <w:rPr>
          <w:rFonts w:ascii="Arial" w:hAnsi="Arial" w:cs="Arial"/>
          <w:sz w:val="22"/>
          <w:szCs w:val="22"/>
        </w:rPr>
        <w:t>Объектов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79EF1D80" w:rsidR="009311AB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3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3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0BD21C10" w:rsidR="00E85262" w:rsidRPr="00E85262" w:rsidRDefault="00E85262" w:rsidP="00E85262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</w:t>
      </w:r>
      <w:r w:rsidR="008167DB">
        <w:rPr>
          <w:rFonts w:ascii="Arial" w:eastAsia="Times New Roman" w:hAnsi="Arial" w:cs="Arial"/>
          <w:sz w:val="22"/>
          <w:lang w:val="ru-RU" w:eastAsia="ru-RU"/>
        </w:rPr>
        <w:t>ы</w:t>
      </w:r>
      <w:r w:rsidRPr="00E85262">
        <w:rPr>
          <w:rFonts w:ascii="Arial" w:eastAsia="Times New Roman" w:hAnsi="Arial" w:cs="Arial"/>
          <w:sz w:val="22"/>
          <w:lang w:val="ru-RU" w:eastAsia="ru-RU"/>
        </w:rPr>
        <w:t>.</w:t>
      </w:r>
    </w:p>
    <w:p w14:paraId="1C1F4861" w14:textId="77EB19AE" w:rsidR="009311AB" w:rsidRPr="00E85262" w:rsidRDefault="00247243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bookmarkStart w:id="4" w:name="page13"/>
      <w:bookmarkEnd w:id="4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</w:t>
      </w:r>
      <w:r w:rsidR="008167DB">
        <w:rPr>
          <w:rFonts w:ascii="Arial" w:hAnsi="Arial" w:cs="Arial"/>
          <w:sz w:val="22"/>
          <w:lang w:val="ru-RU"/>
        </w:rPr>
        <w:t>ы</w:t>
      </w:r>
      <w:r w:rsidRPr="00E85262">
        <w:rPr>
          <w:rFonts w:ascii="Arial" w:hAnsi="Arial" w:cs="Arial"/>
          <w:sz w:val="22"/>
          <w:lang w:val="ru-RU"/>
        </w:rPr>
        <w:t xml:space="preserve">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</w:t>
      </w:r>
      <w:r w:rsidR="008167DB">
        <w:rPr>
          <w:rFonts w:ascii="Arial" w:hAnsi="Arial" w:cs="Arial"/>
          <w:sz w:val="22"/>
          <w:lang w:val="ru-RU"/>
        </w:rPr>
        <w:t>ы</w:t>
      </w:r>
      <w:r w:rsidRPr="00E85262">
        <w:rPr>
          <w:rFonts w:ascii="Arial" w:hAnsi="Arial" w:cs="Arial"/>
          <w:sz w:val="22"/>
          <w:lang w:val="ru-RU"/>
        </w:rPr>
        <w:t xml:space="preserve"> недвижимости, несет Покупатель.</w:t>
      </w:r>
    </w:p>
    <w:p w14:paraId="7728632D" w14:textId="2D610605" w:rsidR="009311AB" w:rsidRPr="00E85262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</w:t>
      </w:r>
      <w:r w:rsidR="00A42830">
        <w:rPr>
          <w:rFonts w:ascii="Arial" w:hAnsi="Arial" w:cs="Arial"/>
          <w:sz w:val="22"/>
          <w:lang w:val="ru-RU"/>
        </w:rPr>
        <w:t>Объектов</w:t>
      </w:r>
      <w:r w:rsidRPr="00E85262">
        <w:rPr>
          <w:rFonts w:ascii="Arial" w:hAnsi="Arial" w:cs="Arial"/>
          <w:sz w:val="22"/>
          <w:lang w:val="ru-RU"/>
        </w:rPr>
        <w:t xml:space="preserve"> недвижимости. </w:t>
      </w:r>
    </w:p>
    <w:p w14:paraId="19CC40D7" w14:textId="307988EE" w:rsidR="009311AB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</w:t>
      </w:r>
      <w:r w:rsidR="00A42830">
        <w:rPr>
          <w:rFonts w:ascii="Arial" w:hAnsi="Arial" w:cs="Arial"/>
          <w:sz w:val="22"/>
          <w:lang w:val="ru-RU"/>
        </w:rPr>
        <w:t>Объектов</w:t>
      </w:r>
      <w:r w:rsidRPr="00D34B86">
        <w:rPr>
          <w:rFonts w:ascii="Arial" w:hAnsi="Arial" w:cs="Arial"/>
          <w:sz w:val="22"/>
          <w:lang w:val="ru-RU"/>
        </w:rPr>
        <w:t xml:space="preserve">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6C5E4318" w:rsidR="00E85262" w:rsidRPr="00106ABA" w:rsidRDefault="00E85262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 xml:space="preserve">не входит в цену договора купли-продажи, заключаемого между Продавцом и Покупателем и его размер не может превышать 3% (Три процента) от цены продажи </w:t>
      </w:r>
      <w:r w:rsidR="00A42830">
        <w:rPr>
          <w:rFonts w:ascii="Arial" w:hAnsi="Arial" w:cs="Arial"/>
          <w:sz w:val="22"/>
          <w:lang w:val="ru-RU"/>
        </w:rPr>
        <w:t>Объектов</w:t>
      </w:r>
      <w:r w:rsidRPr="00106ABA">
        <w:rPr>
          <w:rFonts w:ascii="Arial" w:hAnsi="Arial" w:cs="Arial"/>
          <w:sz w:val="22"/>
          <w:lang w:val="ru-RU"/>
        </w:rPr>
        <w:t>, определенной по итогам аукциона.</w:t>
      </w:r>
    </w:p>
    <w:p w14:paraId="7AF89271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E85262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6A079F00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</w:t>
      </w:r>
      <w:r w:rsidR="00E47810">
        <w:rPr>
          <w:rFonts w:ascii="Arial" w:hAnsi="Arial" w:cs="Arial"/>
          <w:sz w:val="22"/>
          <w:szCs w:val="22"/>
        </w:rPr>
        <w:t>пункта</w:t>
      </w:r>
      <w:r w:rsidR="00E47810" w:rsidRPr="00D7494D">
        <w:rPr>
          <w:rFonts w:ascii="Arial" w:hAnsi="Arial" w:cs="Arial"/>
          <w:sz w:val="22"/>
          <w:szCs w:val="22"/>
        </w:rPr>
        <w:t xml:space="preserve"> </w:t>
      </w:r>
      <w:r w:rsidRPr="00D7494D">
        <w:rPr>
          <w:rFonts w:ascii="Arial" w:hAnsi="Arial" w:cs="Arial"/>
          <w:sz w:val="22"/>
          <w:szCs w:val="22"/>
        </w:rPr>
        <w:t>4</w:t>
      </w:r>
      <w:r w:rsidR="00E47810">
        <w:rPr>
          <w:rFonts w:ascii="Arial" w:hAnsi="Arial" w:cs="Arial"/>
          <w:sz w:val="22"/>
          <w:szCs w:val="22"/>
        </w:rPr>
        <w:t>.2.</w:t>
      </w:r>
      <w:r w:rsidRPr="00D7494D">
        <w:rPr>
          <w:rFonts w:ascii="Arial" w:hAnsi="Arial" w:cs="Arial"/>
          <w:sz w:val="22"/>
          <w:szCs w:val="22"/>
        </w:rPr>
        <w:t xml:space="preserve"> Договора по оплате цены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</w:t>
      </w:r>
      <w:r w:rsidR="008167DB">
        <w:rPr>
          <w:rFonts w:ascii="Arial" w:hAnsi="Arial" w:cs="Arial"/>
          <w:sz w:val="22"/>
          <w:szCs w:val="22"/>
        </w:rPr>
        <w:t>ы</w:t>
      </w:r>
      <w:r w:rsidRPr="00D7494D">
        <w:rPr>
          <w:rFonts w:ascii="Arial" w:hAnsi="Arial" w:cs="Arial"/>
          <w:sz w:val="22"/>
          <w:szCs w:val="22"/>
        </w:rPr>
        <w:t xml:space="preserve"> Покупателю считается исполненным после передачи имущества Покупателю и подписания сторонами акта приема-передачи.</w:t>
      </w:r>
    </w:p>
    <w:p w14:paraId="7F2542D1" w14:textId="77777777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2E34BD7D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t xml:space="preserve">Произвести оплату стоимости </w:t>
      </w:r>
      <w:r w:rsidR="00A42830">
        <w:rPr>
          <w:rFonts w:ascii="Arial" w:hAnsi="Arial" w:cs="Arial"/>
          <w:sz w:val="22"/>
          <w:lang w:val="ru-RU"/>
        </w:rPr>
        <w:t>Объектов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21A5E77F" w14:textId="75CB052A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Нести все расходы, указанные в п. 4.</w:t>
      </w:r>
      <w:r w:rsidR="005A06E7">
        <w:rPr>
          <w:rFonts w:ascii="Arial" w:hAnsi="Arial" w:cs="Arial"/>
          <w:sz w:val="22"/>
          <w:lang w:val="ru-RU"/>
        </w:rPr>
        <w:t>4</w:t>
      </w:r>
      <w:r>
        <w:rPr>
          <w:rFonts w:ascii="Arial" w:hAnsi="Arial" w:cs="Arial"/>
          <w:sz w:val="22"/>
          <w:lang w:val="ru-RU"/>
        </w:rPr>
        <w:t>, 4.</w:t>
      </w:r>
      <w:r w:rsidR="005A06E7">
        <w:rPr>
          <w:rFonts w:ascii="Arial" w:hAnsi="Arial" w:cs="Arial"/>
          <w:sz w:val="22"/>
          <w:lang w:val="ru-RU"/>
        </w:rPr>
        <w:t>7</w:t>
      </w:r>
      <w:r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25B915D8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</w:t>
      </w:r>
      <w:r w:rsidR="00C80706" w:rsidRPr="00D34B86">
        <w:rPr>
          <w:rFonts w:ascii="Arial" w:hAnsi="Arial" w:cs="Arial"/>
          <w:sz w:val="22"/>
          <w:lang w:val="ru-RU"/>
        </w:rPr>
        <w:t>Объект</w:t>
      </w:r>
      <w:r w:rsidR="008167DB">
        <w:rPr>
          <w:rFonts w:ascii="Arial" w:hAnsi="Arial" w:cs="Arial"/>
          <w:sz w:val="22"/>
          <w:lang w:val="ru-RU"/>
        </w:rPr>
        <w:t>ы</w:t>
      </w:r>
      <w:r w:rsidR="00C80706">
        <w:rPr>
          <w:rFonts w:ascii="Arial" w:hAnsi="Arial" w:cs="Arial"/>
          <w:sz w:val="22"/>
          <w:lang w:val="ru-RU"/>
        </w:rPr>
        <w:t xml:space="preserve"> недвижимости</w:t>
      </w:r>
      <w:r w:rsidR="00C80706" w:rsidRPr="00D34B86">
        <w:rPr>
          <w:rFonts w:ascii="Arial" w:hAnsi="Arial" w:cs="Arial"/>
          <w:sz w:val="22"/>
          <w:lang w:val="ru-RU"/>
        </w:rPr>
        <w:t xml:space="preserve"> </w:t>
      </w:r>
      <w:r w:rsidRPr="00D34B86">
        <w:rPr>
          <w:rFonts w:ascii="Arial" w:hAnsi="Arial" w:cs="Arial"/>
          <w:sz w:val="22"/>
          <w:lang w:val="ru-RU"/>
        </w:rPr>
        <w:t>по акту приёма-передачи, являющ</w:t>
      </w:r>
      <w:r w:rsidR="00C80706">
        <w:rPr>
          <w:rFonts w:ascii="Arial" w:hAnsi="Arial" w:cs="Arial"/>
          <w:sz w:val="22"/>
          <w:lang w:val="ru-RU"/>
        </w:rPr>
        <w:t>ему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7C83D84E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5A06E7">
        <w:rPr>
          <w:rFonts w:ascii="Arial" w:hAnsi="Arial" w:cs="Arial"/>
          <w:sz w:val="22"/>
          <w:lang w:val="ru-RU"/>
        </w:rPr>
        <w:t>3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4887CEBE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</w:t>
      </w:r>
      <w:r w:rsidR="008167DB">
        <w:rPr>
          <w:rFonts w:ascii="Arial" w:hAnsi="Arial" w:cs="Arial"/>
          <w:sz w:val="22"/>
          <w:lang w:val="ru-RU"/>
        </w:rPr>
        <w:t>ы</w:t>
      </w:r>
      <w:r w:rsidRPr="00D34B86">
        <w:rPr>
          <w:rFonts w:ascii="Arial" w:hAnsi="Arial" w:cs="Arial"/>
          <w:sz w:val="22"/>
          <w:lang w:val="ru-RU"/>
        </w:rPr>
        <w:t xml:space="preserve"> недвижимости</w:t>
      </w:r>
      <w:r>
        <w:rPr>
          <w:rFonts w:ascii="Arial" w:hAnsi="Arial" w:cs="Arial"/>
          <w:sz w:val="22"/>
          <w:lang w:val="ru-RU"/>
        </w:rPr>
        <w:t>, указанные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5DC78421" w:rsidR="00E85262" w:rsidRPr="00D34B86" w:rsidRDefault="00E85262" w:rsidP="00E85262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A42830">
        <w:rPr>
          <w:rFonts w:ascii="Arial" w:hAnsi="Arial" w:cs="Arial"/>
          <w:b/>
          <w:bCs/>
          <w:sz w:val="22"/>
          <w:szCs w:val="22"/>
        </w:rPr>
        <w:t>Объектов</w:t>
      </w:r>
    </w:p>
    <w:p w14:paraId="6075A1E8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025B119A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08E7B99B" w:rsidR="00E85262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63A3996F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1D132F9C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 w:rsidR="008167DB">
        <w:rPr>
          <w:rFonts w:ascii="Arial" w:hAnsi="Arial" w:cs="Arial"/>
          <w:sz w:val="22"/>
          <w:szCs w:val="22"/>
        </w:rPr>
        <w:t>ы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Росреестра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0C43F9C2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 xml:space="preserve">и случайного повреждения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недвижимости. </w:t>
      </w:r>
    </w:p>
    <w:p w14:paraId="215FAB33" w14:textId="77777777" w:rsidR="00E85262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77777777" w:rsidR="00E85262" w:rsidRPr="00D34B86" w:rsidRDefault="00E85262" w:rsidP="00E85262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04E5E3A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E85262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4353D9E0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5" w:name="page15"/>
      <w:bookmarkEnd w:id="5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A42830">
        <w:rPr>
          <w:rFonts w:ascii="Arial" w:hAnsi="Arial" w:cs="Arial"/>
          <w:sz w:val="22"/>
          <w:szCs w:val="22"/>
        </w:rPr>
        <w:t>Объектов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F1467B6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E85262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2 (двух)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7777777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7F8E1F08" w14:textId="6FE27FA1" w:rsidR="008167DB" w:rsidRPr="008167DB" w:rsidRDefault="008167DB" w:rsidP="008167D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91919" w:rsidRPr="008167DB">
        <w:rPr>
          <w:rFonts w:ascii="Arial" w:hAnsi="Arial" w:cs="Arial"/>
          <w:sz w:val="22"/>
          <w:szCs w:val="22"/>
        </w:rPr>
        <w:t xml:space="preserve">В соответствии с договором купли-продажи недвижимого имущества </w:t>
      </w:r>
      <w:r w:rsidRPr="008167DB">
        <w:rPr>
          <w:rFonts w:ascii="Arial" w:hAnsi="Arial" w:cs="Arial"/>
          <w:sz w:val="22"/>
          <w:szCs w:val="22"/>
        </w:rPr>
        <w:t>№ _______________от ________________Продавец передал, а Покупатель принял следующие объекты недвижимого имущества (далее – Объекты недвижимости, Объекты).</w:t>
      </w:r>
    </w:p>
    <w:p w14:paraId="300223BB" w14:textId="45FFFBDD" w:rsidR="008167DB" w:rsidRPr="008167DB" w:rsidRDefault="008167DB" w:rsidP="008167D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167DB">
        <w:rPr>
          <w:rFonts w:ascii="Arial" w:hAnsi="Arial" w:cs="Arial"/>
          <w:sz w:val="22"/>
          <w:szCs w:val="22"/>
        </w:rPr>
        <w:t>.1 Жилой дом, общей площадью ________, находящийся по адресу: ______________________________, кадастровый номер: ______________________________, принадлежащ</w:t>
      </w:r>
      <w:r w:rsidR="005A06E7">
        <w:rPr>
          <w:rFonts w:ascii="Arial" w:hAnsi="Arial" w:cs="Arial"/>
          <w:sz w:val="22"/>
          <w:szCs w:val="22"/>
        </w:rPr>
        <w:t>ий</w:t>
      </w:r>
      <w:r w:rsidRPr="008167DB">
        <w:rPr>
          <w:rFonts w:ascii="Arial" w:hAnsi="Arial" w:cs="Arial"/>
          <w:sz w:val="22"/>
          <w:szCs w:val="22"/>
        </w:rPr>
        <w:t xml:space="preserve"> АО «Полюс Вернинское» на праве собственности, о чем в Едином государственном реестре недвижимости _</w:t>
      </w:r>
      <w:proofErr w:type="gramStart"/>
      <w:r w:rsidRPr="008167DB">
        <w:rPr>
          <w:rFonts w:ascii="Arial" w:hAnsi="Arial" w:cs="Arial"/>
          <w:sz w:val="22"/>
          <w:szCs w:val="22"/>
        </w:rPr>
        <w:t>_._</w:t>
      </w:r>
      <w:proofErr w:type="gramEnd"/>
      <w:r w:rsidRPr="008167DB">
        <w:rPr>
          <w:rFonts w:ascii="Arial" w:hAnsi="Arial" w:cs="Arial"/>
          <w:sz w:val="22"/>
          <w:szCs w:val="22"/>
        </w:rPr>
        <w:t>_.____ года сделана запись о регистрации № ______________________________, расположенный на земельном участке, указанном в п. 2.2.2 Договора.</w:t>
      </w:r>
    </w:p>
    <w:p w14:paraId="5D21859D" w14:textId="2D59FA42" w:rsidR="008167DB" w:rsidRPr="008167DB" w:rsidRDefault="008167DB" w:rsidP="008167D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 Земельный участок, площадью____________, категория земель__________, вид разрешенного использования ___________________,</w:t>
      </w:r>
      <w:r w:rsidRPr="00D34B86">
        <w:rPr>
          <w:rFonts w:ascii="Arial" w:hAnsi="Arial" w:cs="Arial"/>
          <w:sz w:val="22"/>
          <w:szCs w:val="22"/>
        </w:rPr>
        <w:t xml:space="preserve"> находящ</w:t>
      </w:r>
      <w:r>
        <w:rPr>
          <w:rFonts w:ascii="Arial" w:hAnsi="Arial" w:cs="Arial"/>
          <w:sz w:val="22"/>
          <w:szCs w:val="22"/>
        </w:rPr>
        <w:t>ий</w:t>
      </w:r>
      <w:r w:rsidRPr="00D34B86">
        <w:rPr>
          <w:rFonts w:ascii="Arial" w:hAnsi="Arial" w:cs="Arial"/>
          <w:sz w:val="22"/>
          <w:szCs w:val="22"/>
        </w:rPr>
        <w:t xml:space="preserve">ся по адресу: ______________________________, кадастровый номер: ______________________________, </w:t>
      </w:r>
      <w:r w:rsidRPr="008167DB">
        <w:rPr>
          <w:rFonts w:ascii="Arial" w:hAnsi="Arial" w:cs="Arial"/>
          <w:sz w:val="22"/>
          <w:szCs w:val="22"/>
        </w:rPr>
        <w:t>принадлежащий АО «Полюс Вернинское» на праве собственности, о чем в Едином государственном реестре недвижимости _</w:t>
      </w:r>
      <w:proofErr w:type="gramStart"/>
      <w:r w:rsidRPr="008167DB">
        <w:rPr>
          <w:rFonts w:ascii="Arial" w:hAnsi="Arial" w:cs="Arial"/>
          <w:sz w:val="22"/>
          <w:szCs w:val="22"/>
        </w:rPr>
        <w:t>_._</w:t>
      </w:r>
      <w:proofErr w:type="gramEnd"/>
      <w:r w:rsidRPr="008167DB">
        <w:rPr>
          <w:rFonts w:ascii="Arial" w:hAnsi="Arial" w:cs="Arial"/>
          <w:sz w:val="22"/>
          <w:szCs w:val="22"/>
        </w:rPr>
        <w:t xml:space="preserve">_.____ года сделана запись о регистрации №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2AFBF152" w14:textId="7BB83C1D" w:rsidR="00291919" w:rsidRPr="00D34B86" w:rsidRDefault="00291919" w:rsidP="008167D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1E65A850" w14:textId="7BA5F17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</w:t>
      </w:r>
      <w:r w:rsidR="005A06E7">
        <w:rPr>
          <w:rFonts w:ascii="Arial" w:hAnsi="Arial" w:cs="Arial"/>
          <w:sz w:val="22"/>
          <w:szCs w:val="22"/>
        </w:rPr>
        <w:t>е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5A06E7">
        <w:rPr>
          <w:rFonts w:ascii="Arial" w:hAnsi="Arial" w:cs="Arial"/>
          <w:sz w:val="22"/>
          <w:szCs w:val="22"/>
        </w:rPr>
        <w:t>ы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A42830">
        <w:rPr>
          <w:rFonts w:ascii="Arial" w:hAnsi="Arial" w:cs="Arial"/>
          <w:sz w:val="22"/>
          <w:szCs w:val="22"/>
        </w:rPr>
        <w:t>Объектов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5A06E7">
        <w:rPr>
          <w:rFonts w:ascii="Arial" w:hAnsi="Arial" w:cs="Arial"/>
          <w:sz w:val="22"/>
          <w:szCs w:val="22"/>
        </w:rPr>
        <w:t>ы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A42830">
        <w:rPr>
          <w:rFonts w:ascii="Arial" w:hAnsi="Arial" w:cs="Arial"/>
          <w:sz w:val="22"/>
          <w:szCs w:val="22"/>
        </w:rPr>
        <w:t>Объектов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3D51CEDF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A42830">
        <w:rPr>
          <w:rFonts w:ascii="Arial" w:hAnsi="Arial" w:cs="Arial"/>
          <w:sz w:val="22"/>
          <w:szCs w:val="22"/>
        </w:rPr>
        <w:t>Объектов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1353D8D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5A06E7">
        <w:rPr>
          <w:rFonts w:ascii="Arial" w:hAnsi="Arial" w:cs="Arial"/>
          <w:sz w:val="22"/>
          <w:szCs w:val="22"/>
        </w:rPr>
        <w:t>ов</w:t>
      </w:r>
      <w:r w:rsidR="00EA0091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4A0033"/>
    <w:multiLevelType w:val="hybridMultilevel"/>
    <w:tmpl w:val="F2E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8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243D5"/>
    <w:rsid w:val="001345F6"/>
    <w:rsid w:val="00181ED1"/>
    <w:rsid w:val="00194890"/>
    <w:rsid w:val="001A06E5"/>
    <w:rsid w:val="001A3DA9"/>
    <w:rsid w:val="001B0F78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03C0"/>
    <w:rsid w:val="00325DC6"/>
    <w:rsid w:val="003333C0"/>
    <w:rsid w:val="00376146"/>
    <w:rsid w:val="00410927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A06E7"/>
    <w:rsid w:val="005A6DA8"/>
    <w:rsid w:val="005B3DD7"/>
    <w:rsid w:val="00633EF0"/>
    <w:rsid w:val="00697A64"/>
    <w:rsid w:val="006A7AE1"/>
    <w:rsid w:val="006C5D9A"/>
    <w:rsid w:val="006C6DF7"/>
    <w:rsid w:val="006D1DEC"/>
    <w:rsid w:val="00703B9D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167DB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D2FAB"/>
    <w:rsid w:val="009E5D25"/>
    <w:rsid w:val="00A02328"/>
    <w:rsid w:val="00A42830"/>
    <w:rsid w:val="00A51DD8"/>
    <w:rsid w:val="00A60FDD"/>
    <w:rsid w:val="00A6590D"/>
    <w:rsid w:val="00A84FB3"/>
    <w:rsid w:val="00A91873"/>
    <w:rsid w:val="00AA5B69"/>
    <w:rsid w:val="00AB1CA1"/>
    <w:rsid w:val="00AD0E6F"/>
    <w:rsid w:val="00AE07D6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7059C"/>
    <w:rsid w:val="00C80014"/>
    <w:rsid w:val="00C80706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47810"/>
    <w:rsid w:val="00E55D00"/>
    <w:rsid w:val="00E66B26"/>
    <w:rsid w:val="00E81CB2"/>
    <w:rsid w:val="00E85262"/>
    <w:rsid w:val="00EA0091"/>
    <w:rsid w:val="00EE5D0C"/>
    <w:rsid w:val="00F01668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12</cp:revision>
  <cp:lastPrinted>2024-02-29T06:40:00Z</cp:lastPrinted>
  <dcterms:created xsi:type="dcterms:W3CDTF">2024-02-20T03:28:00Z</dcterms:created>
  <dcterms:modified xsi:type="dcterms:W3CDTF">2024-03-06T05:49:00Z</dcterms:modified>
</cp:coreProperties>
</file>