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74185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9450" w:type="dxa"/>
            <w:gridSpan w:val="10"/>
            <w:shd w:val="clear" w:color="FFFFFF" w:fill="auto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Мы, нижеподписавшиеся: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Ниязов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Авдил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Абыш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(28.08.1955г.р., место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Ходжавенд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Агджабединского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Азербайджан, адрес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412587, Саратовская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Новобурасский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р-н, Тепловка с, Первомайская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дом № 103, СНИЛС16340092941, ИНН 760905093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633, паспорт РФ серия 7810, номер 796505, выдан 31.07.2010, кем выдан Отделением УФМС России по Ярославской области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гор.Ростове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Ростовском р-не, код подразделения 760-009), в лице Гражданина РФ Финансового управляющего Кайзер Оксаны Викторовны (ИНН 744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844918952, СНИЛС 14795875737,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22340), действующего на основании решения Арбитражного суда Саратовской области от 01.11.2022г. по делу №А57-26303/2022, именуемый в дальнейшем «Продавец», с одной стороны, и 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1.1.  В соответствии с Протоколом №  от 29.05.2024г. по продаже имущества Ниязова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Авдила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Абыша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размещенным на торговой площадке  АО "РАД" (https://lot-online.ru/)  (далее по тексту – "Протокол"), Продавец обязуется передать в собственность Покупателя, признанного Победителем указанных торгов, имущество, выигранное на этих торгах, а именно: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FFFFFF"/>
            <w:vAlign w:val="bottom"/>
          </w:tcPr>
          <w:p w:rsidR="0074185D" w:rsidRDefault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</w:t>
            </w:r>
            <w:r w:rsidR="009F1D7C">
              <w:rPr>
                <w:rFonts w:ascii="Times New Roman" w:hAnsi="Times New Roman"/>
                <w:sz w:val="20"/>
                <w:szCs w:val="20"/>
              </w:rPr>
              <w:t xml:space="preserve"> - Жилое помещение,, площадь: 28,2м², адрес (местонахождение): Саратовская область, р-н </w:t>
            </w:r>
            <w:proofErr w:type="spellStart"/>
            <w:r w:rsidR="009F1D7C">
              <w:rPr>
                <w:rFonts w:ascii="Times New Roman" w:hAnsi="Times New Roman"/>
                <w:sz w:val="20"/>
                <w:szCs w:val="20"/>
              </w:rPr>
              <w:t>Новобурасский</w:t>
            </w:r>
            <w:proofErr w:type="spellEnd"/>
            <w:r w:rsidR="009F1D7C">
              <w:rPr>
                <w:rFonts w:ascii="Times New Roman" w:hAnsi="Times New Roman"/>
                <w:sz w:val="20"/>
                <w:szCs w:val="20"/>
              </w:rPr>
              <w:t xml:space="preserve">, с Тепловка, </w:t>
            </w:r>
            <w:proofErr w:type="spellStart"/>
            <w:r w:rsidR="009F1D7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F1D7C">
              <w:rPr>
                <w:rFonts w:ascii="Times New Roman" w:hAnsi="Times New Roman"/>
                <w:sz w:val="20"/>
                <w:szCs w:val="20"/>
              </w:rPr>
              <w:t xml:space="preserve"> Первомайская, д 103, кадастровый номер: 64:21:180201:152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Право собственности зарегистрировано в установленном законом порядк</w:t>
            </w:r>
            <w:r>
              <w:rPr>
                <w:rFonts w:ascii="Times New Roman" w:hAnsi="Times New Roman"/>
                <w:sz w:val="20"/>
                <w:szCs w:val="20"/>
              </w:rPr>
              <w:t>е (далее по тексту - «Имущество»).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1.2. На момент составления Договора купли-продажи на вышеуказанном имуществе обременения/ограничения отсутствуют.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Обязанности Сторон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Продавец обязуется: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2.1.1. Передать Покупателю имущество по акту приема-передачи.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2.1.2. Передать Покупателю по акту приема-передачи, все необходимые документы для регистрации перехода права собственности на выигранное на открытых торгах имущество</w:t>
            </w:r>
            <w:r>
              <w:rPr>
                <w:rFonts w:ascii="Times New Roman" w:hAnsi="Times New Roman"/>
                <w:sz w:val="20"/>
                <w:szCs w:val="20"/>
              </w:rPr>
              <w:t>,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 Покупатель обязан: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2.2.1. Оплатить полную стоимость имущества в соответстви</w:t>
            </w:r>
            <w:r>
              <w:rPr>
                <w:rFonts w:ascii="Times New Roman" w:hAnsi="Times New Roman"/>
                <w:sz w:val="20"/>
                <w:szCs w:val="20"/>
              </w:rPr>
              <w:t>и с настоящим договором.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2.2.2.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Цена и порядок расчетов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3.1. Стоимость имущества составляет: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</w:t>
            </w:r>
            <w:r>
              <w:rPr>
                <w:rFonts w:ascii="Times New Roman" w:hAnsi="Times New Roman"/>
                <w:sz w:val="20"/>
                <w:szCs w:val="20"/>
              </w:rPr>
              <w:t>0 (Ноль рублей 00 копеек). Цена настоящего договора установлена по результатам проведения торгов, которые проводились 29.05.2024г. на сайте https://lot-online.ru/, и указана в Протоколе  от 29.05.2024г. является окончательной и изменению не подлежит.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3.2. Расходы по переходу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3.3. Оплата стоимости имущества по настоящему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оговору осуществляется Покупателем безналичным платежом на расчетный счет:  </w:t>
            </w:r>
          </w:p>
        </w:tc>
      </w:tr>
      <w:tr w:rsidR="0074185D" w:rsidTr="00F06D2E">
        <w:tblPrEx>
          <w:tblCellMar>
            <w:top w:w="0" w:type="dxa"/>
            <w:bottom w:w="0" w:type="dxa"/>
          </w:tblCellMar>
        </w:tblPrEx>
        <w:trPr>
          <w:trHeight w:hRule="exact" w:val="1683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F06D2E" w:rsidRP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Наименование Арбитражный Управляющий Кайзер Оксана Викторовна</w:t>
            </w:r>
          </w:p>
          <w:p w:rsidR="00F06D2E" w:rsidRP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ИНН: 744844918952</w:t>
            </w:r>
          </w:p>
          <w:p w:rsidR="00F06D2E" w:rsidRP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Номер счёта: 40802810338130002767</w:t>
            </w:r>
          </w:p>
          <w:p w:rsidR="00F06D2E" w:rsidRP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Банк: ФИЛИАЛ «ЕКАТЕРИНБУРГСКИЙ» АО «АЛЬФА-БАНК»</w:t>
            </w:r>
          </w:p>
          <w:p w:rsidR="00F06D2E" w:rsidRP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БИК: 046577964</w:t>
            </w:r>
          </w:p>
          <w:p w:rsidR="0074185D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Корреспондентский счёт: 30101810100000000964</w:t>
            </w:r>
          </w:p>
          <w:p w:rsidR="00F06D2E" w:rsidRDefault="00F06D2E" w:rsidP="00F06D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тридцати дней с даты подписания настоящего договора.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Передач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 имущества и переход риска случайной гибели имущества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4.1. Продавец в течение 30 (тридцати)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</w:t>
            </w:r>
            <w:r>
              <w:rPr>
                <w:rFonts w:ascii="Times New Roman" w:hAnsi="Times New Roman"/>
                <w:sz w:val="20"/>
                <w:szCs w:val="20"/>
              </w:rPr>
              <w:t>дача имущества осуществляется посредством подписания Сторонами акта приема-передачи. Момент подписания акта приема-передачи является моментом передачи имущества Покупателю.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6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приема-передачи. Указанные действия осуществляются Продавцом своими силами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за свой счет.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4.3. Имущество, полагают Стороны договора, будет считаться переданным от Продавца Покупателю с момента подписания акта приема-передачи обеими Сторонами договора. С этого момента на Покупателя переходит риск случайной гибели или случайного п</w:t>
            </w:r>
            <w:r>
              <w:rPr>
                <w:rFonts w:ascii="Times New Roman" w:hAnsi="Times New Roman"/>
                <w:sz w:val="20"/>
                <w:szCs w:val="20"/>
              </w:rPr>
              <w:t>овреждения имущества, переданного Покупателю.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Возникновение права собственности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Право собственности на имущество переходит от Продавца к Покупателю в момент государственной регистрации права собственности.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Ответственность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Сторон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6.1.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6.2. Отсу</w:t>
            </w:r>
            <w:r>
              <w:rPr>
                <w:rFonts w:ascii="Times New Roman" w:hAnsi="Times New Roman"/>
                <w:sz w:val="20"/>
                <w:szCs w:val="20"/>
              </w:rPr>
              <w:t>тствие вины за неисполнение или ненадлежащее исполнение обязательств по договору доказывается Стороной, нарушившей обязательства.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22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6.3. Сторона, не исполнившая или ненадлежащим образом исполнившая свои обязательства по договору при выполне</w:t>
            </w:r>
            <w:r>
              <w:rPr>
                <w:rFonts w:ascii="Times New Roman" w:hAnsi="Times New Roman"/>
                <w:sz w:val="20"/>
                <w:szCs w:val="20"/>
              </w:rPr>
              <w:t>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т. е. чрезвычайных и непредотвратимых обстоятельств при конкретных условиях конкретного период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 п.), температуру, силу ветра и уровень осадков </w:t>
            </w:r>
            <w:r>
              <w:rPr>
                <w:rFonts w:ascii="Times New Roman" w:hAnsi="Times New Roman"/>
                <w:sz w:val="20"/>
                <w:szCs w:val="20"/>
              </w:rPr>
              <w:t>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</w:t>
            </w:r>
            <w:r>
              <w:rPr>
                <w:rFonts w:ascii="Times New Roman" w:hAnsi="Times New Roman"/>
                <w:sz w:val="20"/>
                <w:szCs w:val="20"/>
              </w:rPr>
              <w:t>оронами договора как непреодолимая сила для надлежащего исполнения обязательств.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Порядок разрешения споров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Условия изменения и расторжения договора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8.1. Расторжение настоящего дог</w:t>
            </w:r>
            <w:r>
              <w:rPr>
                <w:rFonts w:ascii="Times New Roman" w:hAnsi="Times New Roman"/>
                <w:sz w:val="20"/>
                <w:szCs w:val="20"/>
              </w:rPr>
              <w:t>овора осуществляется в порядке, предусмотренном законодательством Российской Федерации, без возврата внесенного задатка.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75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8.2. Если покупатель в нарушение договора купли-продажи отказывается принять и оплатить товар, продавец вправе по своему выбору потребовать оплаты товара либо отказаться от исполнения договора.  (п. 4 ст. 486 Гражданского Кодекса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>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8.3. Право на односторонний отказ от договора (исполнения договора) (статья 310 Гражданского Кодекса Российской Федерации) может быть осуществлено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управомоченной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стороной путем уведомления другой стороны об отказе от договора (</w:t>
            </w:r>
            <w:r>
              <w:rPr>
                <w:rFonts w:ascii="Times New Roman" w:hAnsi="Times New Roman"/>
                <w:sz w:val="20"/>
                <w:szCs w:val="20"/>
              </w:rPr>
              <w:t>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3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В случае одностороннего отказа от договора (исполне</w:t>
            </w:r>
            <w:r>
              <w:rPr>
                <w:rFonts w:ascii="Times New Roman" w:hAnsi="Times New Roman"/>
                <w:sz w:val="20"/>
                <w:szCs w:val="20"/>
              </w:rPr>
              <w:t>ния договора) полностью или частично, если такой отказ допускается, договор считается расторгнутым или измененным.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1, 2 Статья 450.1. Гражданского Кодекса Российской Федерации).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 Заключительные положения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9.2. Сторонами договора рассмотрены все документы, подготовленные в св</w:t>
            </w:r>
            <w:r>
              <w:rPr>
                <w:rFonts w:ascii="Times New Roman" w:hAnsi="Times New Roman"/>
                <w:sz w:val="20"/>
                <w:szCs w:val="20"/>
              </w:rPr>
              <w:t>язи с продажей имущества.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9.3. Настоящий Договор составлен в 2-х экземплярах, имеющих одинаковую юридическую силу.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9.4.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</w:t>
            </w:r>
            <w:r>
              <w:rPr>
                <w:rFonts w:ascii="Times New Roman" w:hAnsi="Times New Roman"/>
                <w:sz w:val="20"/>
                <w:szCs w:val="20"/>
              </w:rPr>
              <w:t>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10395" w:type="dxa"/>
            <w:gridSpan w:val="11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 Реквизиты и подписи Сторон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4185D" w:rsidRDefault="009F1D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 w:rsidR="0074185D" w:rsidTr="00F06D2E">
        <w:tblPrEx>
          <w:tblCellMar>
            <w:top w:w="0" w:type="dxa"/>
            <w:bottom w:w="0" w:type="dxa"/>
          </w:tblCellMar>
        </w:tblPrEx>
        <w:trPr>
          <w:trHeight w:hRule="exact" w:val="2545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Ниязов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Авдил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Абыш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(28.08.1955г.р., место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Ходжавенд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Агджабединского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Азербайджан, адрес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412587, Саратовская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Новобурасский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р-н, Тепловка с, Первомайская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дом № 103, СНИЛС16340092941, ИНН 760905093633, паспор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 РФ серия 7810, номер 796505, выдан 31.07.2010, кем выдан Отделением УФМС России по Ярославской области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гор.Ростове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Ростовском р-не, код подразделения 760-009)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4185D" w:rsidTr="00F06D2E">
        <w:tblPrEx>
          <w:tblCellMar>
            <w:top w:w="0" w:type="dxa"/>
            <w:bottom w:w="0" w:type="dxa"/>
          </w:tblCellMar>
        </w:tblPrEx>
        <w:trPr>
          <w:trHeight w:hRule="exact" w:val="2126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F06D2E" w:rsidRPr="00F06D2E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Наименование Арбитражный Управляющий Кайзер Оксана Викторовна</w:t>
            </w:r>
          </w:p>
          <w:p w:rsidR="00F06D2E" w:rsidRPr="00F06D2E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ИНН: 744844918952</w:t>
            </w:r>
          </w:p>
          <w:p w:rsidR="00F06D2E" w:rsidRPr="00F06D2E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Номер счёта: 40802810338130002767</w:t>
            </w:r>
          </w:p>
          <w:p w:rsidR="00F06D2E" w:rsidRPr="00F06D2E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Банк: ФИЛИАЛ «ЕКАТЕРИНБУРГСКИЙ» АО «АЛЬФА-БАНК»</w:t>
            </w:r>
          </w:p>
          <w:p w:rsidR="00F06D2E" w:rsidRPr="00F06D2E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БИК: 046577964</w:t>
            </w:r>
          </w:p>
          <w:p w:rsidR="0074185D" w:rsidRDefault="00F06D2E" w:rsidP="00F06D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D2E">
              <w:rPr>
                <w:rFonts w:ascii="Times New Roman" w:hAnsi="Times New Roman"/>
                <w:sz w:val="20"/>
                <w:szCs w:val="20"/>
              </w:rPr>
              <w:t>Корреспондентский счёт: 30101810100000000964</w:t>
            </w: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/>
            <w:shd w:val="clear" w:color="FFFFFF" w:fill="auto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725" w:type="dxa"/>
            <w:gridSpan w:val="5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Ниязова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Авдила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Абыша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74185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835" w:type="dxa"/>
            <w:gridSpan w:val="3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Кайзер Оксана Викторовна</w:t>
            </w:r>
          </w:p>
        </w:tc>
        <w:tc>
          <w:tcPr>
            <w:tcW w:w="1890" w:type="dxa"/>
            <w:gridSpan w:val="2"/>
            <w:shd w:val="clear" w:color="FFFFFF" w:fill="auto"/>
            <w:vAlign w:val="bottom"/>
          </w:tcPr>
          <w:p w:rsidR="0074185D" w:rsidRDefault="009F1D7C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</w:t>
            </w: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74185D" w:rsidRDefault="0074185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F1D7C" w:rsidRDefault="009F1D7C"/>
    <w:sectPr w:rsidR="009F1D7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85D"/>
    <w:rsid w:val="0074185D"/>
    <w:rsid w:val="009F1D7C"/>
    <w:rsid w:val="00F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Соболева</cp:lastModifiedBy>
  <cp:revision>3</cp:revision>
  <dcterms:created xsi:type="dcterms:W3CDTF">2024-04-16T04:59:00Z</dcterms:created>
  <dcterms:modified xsi:type="dcterms:W3CDTF">2024-04-16T05:00:00Z</dcterms:modified>
</cp:coreProperties>
</file>