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О ЗАДАТКЕ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«___» _______________202__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                                                  г. Москва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Конкурсный управляющий Кудрявцева Светлана Викторовна, именуемая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 торгов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действующая на основании Определения Арбитражного суда Челябинской области  по делу А76-26407/2017 от 18.04.2022г. с одной стороны, и _________________________________ в лице ___________________________________, действующего на основании ______________(именуемое в дальнейшем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Претендент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заключили  настоящий договор о нижеследующем: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numPr>
          <w:ilvl w:val="0"/>
          <w:numId w:val="4"/>
        </w:numPr>
        <w:spacing w:before="0" w:after="0" w:line="240"/>
        <w:ind w:right="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настоящим договором и информационным сообщением о проведении торгов по продаже имущества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Претендент вносит, а Организатор торгов принимает задаток на участие в торгах по продаже имущества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Задаток вносится путем перечисления Претендентом на специальный счет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единовременно одним платежом в полном размере, в течение срока приема заявок на участие в торгах, указанного в опубликованном сообщении о проведении торгов, и должен поступить на специальный счет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позднее даты окончания срока приема заявок.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РАСЧЕТОВ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подтверждение своего намерения принять участие в открытых торгах в электронной форме лотом №__, проводимых в порядке и на условиях, указанных в извещении о проведении торгов (далее – Извещение), опубликованном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Коммерсантъ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№ №__(____)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 202___ г., Претендент вносит задаток в размере  _________ (______________) рублей, что составляет 10 (десять) процентов от цены лота для соответствующего ценового интервала, на котором принято решение участвовать в торгах, составляющей _____ (__________) рублей. (НДС не облагается). Претендент обязуется внести задаток не позднее даты прекращения приема заявок на том ценовом интервале, на котором принято решение об участии в торгах. Датой внесения задатка считается дата зачисления суммы задатка на специальный счет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Претендент перечисляет задаток (всю сумму) по следующим реквизитам: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Получатель платежа – ОАО "УФАЛЕЙНИКЕЛЬ",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7402001769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КПП 745901001,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специальный  счет 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40702810416540083974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ЮГО-ЗАПАДНЫЙ БАНК ПАО СБЕРБАНК,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кор.счет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30101810500000000674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046577674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назначении платежа указывается: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качестве задатка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наименование Претендента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 лот №___,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 торгов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дело о банкротстве №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3F6F8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А76-26407/2017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платежным поручением и предъявляет Организатору торгов копию платежного документа с отметкой банка об исполнении.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Задаток вносится Претендентом в валюте Российской Федерации.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Документом, подтверждающим поступление задатка, является выписка со специального счета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денежные средства, перечисленные в соответствии с настоящим договором, проценты не начисляются.</w:t>
      </w:r>
    </w:p>
    <w:p>
      <w:pPr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Обязательства Претендента по внесению задатка считаются неисполненными в следующих случаях: </w:t>
      </w:r>
    </w:p>
    <w:p>
      <w:pPr>
        <w:spacing w:before="0" w:after="0" w:line="240"/>
        <w:ind w:right="-5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сумма задатка не поступила на специальный счет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указанный в п. 2.1 настоящего договора срок;</w:t>
      </w:r>
    </w:p>
    <w:p>
      <w:pPr>
        <w:spacing w:before="0" w:after="0" w:line="240"/>
        <w:ind w:right="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платежном документе о перечислении денежных средств на специальный счет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прямо не указано, что данная сумма является задатком для участия в торгах по продаже имущества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center" w:pos="814" w:leader="none"/>
          <w:tab w:val="center" w:pos="527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сумма задатка, указанная в п. 2.1 настоящего договора, внесена не в полном размере для соответствующего интервала;</w:t>
      </w:r>
    </w:p>
    <w:p>
      <w:pPr>
        <w:spacing w:before="0" w:after="0" w:line="240"/>
        <w:ind w:right="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сумма задатка, указанная в п. 2.1 настоящего договора, внесена не единовременно одним платежом.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-1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ВОЗВРАТ ДЕНЕЖНЫХ СРЕДСТВ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Задаток возвращается Организатором торгов в следующих случаях:</w:t>
      </w:r>
    </w:p>
    <w:p>
      <w:pPr>
        <w:numPr>
          <w:ilvl w:val="0"/>
          <w:numId w:val="18"/>
        </w:num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Претендент отозвал заявку до окончания объявленного срока принятия заявок;</w:t>
      </w:r>
    </w:p>
    <w:p>
      <w:pPr>
        <w:numPr>
          <w:ilvl w:val="0"/>
          <w:numId w:val="18"/>
        </w:num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Претендент не допущен к участию в торгах;</w:t>
      </w:r>
    </w:p>
    <w:p>
      <w:pPr>
        <w:numPr>
          <w:ilvl w:val="0"/>
          <w:numId w:val="18"/>
        </w:num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Претендент не стал победителем торгов;</w:t>
      </w:r>
    </w:p>
    <w:p>
      <w:pPr>
        <w:numPr>
          <w:ilvl w:val="0"/>
          <w:numId w:val="18"/>
        </w:num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Торги признаны несостоявшимся;</w:t>
      </w:r>
    </w:p>
    <w:p>
      <w:pPr>
        <w:numPr>
          <w:ilvl w:val="0"/>
          <w:numId w:val="18"/>
        </w:num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Организатором торгов принято решение об отказе от проведения торгов.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случаях, предусмотренных п. 3.1 настоящего договора, задаток возвращается Организатором торгов в срок не позднее пяти банковских дней с даты подведения итогов торгов либо принятия Организатором торгов решения об отказе от проведения торгов либо о признания торгов несостоявшимся и подписания соответствующего протокола.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Банковским днем считается день, в который Центральный банк и коммерческие банки РФ открыты для осуществления платежей.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Возврат суммы задатка производится на счет Претендента, указанный в п. 5 настоящего договора.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признания Претендента победителем торгов и подписания с ним договора купли-продажи лота, задаток, внесенный Претендентом по настоящему договору, засчитывается в счет оплаты цены лота по договору купли-продажи лота.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подведения итогов торгов, сумма задатка остается в распоряжении Организатора торгов и подлежит перечислению в конкурсную массу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УФАЛЕЙНИКЕЛЬ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1"/>
        </w:num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СРОК ДЕЙСТВИЯ НАСТОЯЩЕГО ДОГОВОРА</w:t>
      </w:r>
    </w:p>
    <w:p>
      <w:pPr>
        <w:spacing w:before="0" w:after="0" w:line="240"/>
        <w:ind w:right="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вступает в силу с момента его подписания Сторонами и прекращает действие надлежащим своим исполнением.</w:t>
      </w:r>
    </w:p>
    <w:p>
      <w:pPr>
        <w:spacing w:before="0" w:after="0" w:line="240"/>
        <w:ind w:right="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регулируется действующим законодательством Российской Федерации.</w:t>
      </w:r>
    </w:p>
    <w:p>
      <w:pPr>
        <w:spacing w:before="0" w:after="0" w:line="240"/>
        <w:ind w:right="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>
      <w:pPr>
        <w:spacing w:before="0" w:after="0" w:line="240"/>
        <w:ind w:right="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Настоящий договор составлен в двух экземплярах, по одному для каждой из сторон.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СТОРОН:</w:t>
      </w:r>
    </w:p>
    <w:tbl>
      <w:tblPr/>
      <w:tblGrid>
        <w:gridCol w:w="4785"/>
        <w:gridCol w:w="4786"/>
      </w:tblGrid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  <w:t xml:space="preserve">Организатор торгов:</w:t>
            </w: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Претендент:</w:t>
            </w:r>
          </w:p>
        </w:tc>
      </w:tr>
      <w:tr>
        <w:trPr>
          <w:trHeight w:val="1" w:hRule="atLeast"/>
          <w:jc w:val="center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  <w:t xml:space="preserve">Конкурсный управляющий </w:t>
            </w:r>
          </w:p>
          <w:p>
            <w:pPr>
              <w:keepNext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Кудрявцева Светлана Викторовна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  <w:t xml:space="preserve">Юридический адрес: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141591, Московская область, Солнечногорский район, д. Новая, д. 30, а/я 1224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  <w:t xml:space="preserve">ИНН </w:t>
              <w:tab/>
              <w:t xml:space="preserve">773504791470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47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"/>
        </w:num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ПОДПИСИ СТОРОН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810"/>
        <w:gridCol w:w="4761"/>
      </w:tblGrid>
      <w:tr>
        <w:trPr>
          <w:trHeight w:val="1" w:hRule="atLeast"/>
          <w:jc w:val="center"/>
        </w:trPr>
        <w:tc>
          <w:tcPr>
            <w:tcW w:w="4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  <w:t xml:space="preserve">Организатор торгов:</w:t>
            </w:r>
          </w:p>
        </w:tc>
        <w:tc>
          <w:tcPr>
            <w:tcW w:w="47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Претендент:</w:t>
            </w:r>
          </w:p>
        </w:tc>
      </w:tr>
      <w:tr>
        <w:trPr>
          <w:trHeight w:val="1" w:hRule="atLeast"/>
          <w:jc w:val="center"/>
        </w:trPr>
        <w:tc>
          <w:tcPr>
            <w:tcW w:w="481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  <w:t xml:space="preserve">_________________</w:t>
            </w:r>
            <w:r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  <w:t xml:space="preserve">Кудрявцева С.В.</w:t>
            </w:r>
          </w:p>
        </w:tc>
        <w:tc>
          <w:tcPr>
            <w:tcW w:w="476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82828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4">
    <w:abstractNumId w:val="36"/>
  </w:num>
  <w:num w:numId="7">
    <w:abstractNumId w:val="30"/>
  </w:num>
  <w:num w:numId="16">
    <w:abstractNumId w:val="24"/>
  </w:num>
  <w:num w:numId="18">
    <w:abstractNumId w:val="18"/>
  </w:num>
  <w:num w:numId="21">
    <w:abstractNumId w:val="12"/>
  </w:num>
  <w:num w:numId="24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