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6D55DE95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51134C">
        <w:t xml:space="preserve">Заместителя генерального директора </w:t>
      </w:r>
      <w:r>
        <w:t xml:space="preserve">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1669EF">
        <w:t>1</w:t>
      </w:r>
      <w:r w:rsidRPr="00DB3CB0">
        <w:t>.0</w:t>
      </w:r>
      <w:r w:rsidR="001669EF">
        <w:t>1</w:t>
      </w:r>
      <w:r w:rsidRPr="00DB3CB0">
        <w:t>.202</w:t>
      </w:r>
      <w:r w:rsidR="001669EF">
        <w:t>4</w:t>
      </w:r>
      <w:r w:rsidRPr="00DB3CB0">
        <w:t xml:space="preserve"> №Д-0</w:t>
      </w:r>
      <w:r w:rsidR="001669EF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</w:t>
      </w:r>
      <w:r w:rsidR="00D8199E">
        <w:rPr>
          <w:b/>
          <w:bCs/>
          <w:iCs/>
        </w:rPr>
        <w:t xml:space="preserve"> </w:t>
      </w:r>
      <w:r w:rsidR="00D8199E" w:rsidRPr="00203914">
        <w:rPr>
          <w:b/>
          <w:bCs/>
          <w:iCs/>
        </w:rPr>
        <w:t xml:space="preserve">ООО «Преформ» </w:t>
      </w:r>
      <w:r w:rsidR="00D8199E" w:rsidRPr="00203914">
        <w:rPr>
          <w:bCs/>
          <w:iCs/>
        </w:rPr>
        <w:t xml:space="preserve">(ИНН 7106039226, ОГРН 1027100750820, адрес: 300034, Тульская область, г. Тула, ул. Гоголевская/Бундурина, д.80/32А), </w:t>
      </w:r>
      <w:r w:rsidR="00D8199E" w:rsidRPr="00203914">
        <w:rPr>
          <w:bCs/>
        </w:rPr>
        <w:t>(Должник), в лице конкурсного управляющего Носкова Сергея Андреевича</w:t>
      </w:r>
      <w:r w:rsidR="00D8199E" w:rsidRPr="00203914" w:rsidDel="00E71AA8">
        <w:rPr>
          <w:bCs/>
        </w:rPr>
        <w:t xml:space="preserve"> </w:t>
      </w:r>
      <w:r w:rsidR="00D8199E" w:rsidRPr="00203914">
        <w:rPr>
          <w:bCs/>
        </w:rPr>
        <w:t>(ИНН</w:t>
      </w:r>
      <w:r w:rsidR="00D8199E" w:rsidRPr="00203914">
        <w:t xml:space="preserve"> 710500618947, СНИЛС 032-174-930 27, регистрационный номер в реестре 3590, адрес для корреспонденции: 300028, г. Тула, ул. Болдина, д.98, оф.507), член Ассоциации МСРО «Содействие» (ИНН </w:t>
      </w:r>
      <w:r w:rsidR="00D8199E" w:rsidRPr="00203914">
        <w:rPr>
          <w:color w:val="222222"/>
        </w:rPr>
        <w:t>5752030226</w:t>
      </w:r>
      <w:r w:rsidR="00D8199E" w:rsidRPr="00203914">
        <w:t xml:space="preserve">, ОГРН </w:t>
      </w:r>
      <w:r w:rsidR="00D8199E" w:rsidRPr="00203914">
        <w:rPr>
          <w:color w:val="222222"/>
          <w:shd w:val="clear" w:color="auto" w:fill="FFFFFF"/>
        </w:rPr>
        <w:t>1025700780071</w:t>
      </w:r>
      <w:r w:rsidR="00D8199E" w:rsidRPr="00203914">
        <w:t xml:space="preserve">, адрес: </w:t>
      </w:r>
      <w:r w:rsidR="00D8199E" w:rsidRPr="00203914">
        <w:rPr>
          <w:color w:val="222222"/>
          <w:shd w:val="clear" w:color="auto" w:fill="FFFFFF"/>
        </w:rPr>
        <w:t>302004, Орловская область, г. Орел, ул. 3-я Курская, д.15, помещение 6, оф.14</w:t>
      </w:r>
      <w:r w:rsidR="00D8199E" w:rsidRPr="00203914">
        <w:t>, рег. №003), действующего на основании решения Арбитражного суда Тульской области от 17.06.2014г. по делу А68-2673/2014</w:t>
      </w:r>
      <w:r w:rsidR="000F53F6" w:rsidRPr="000F53F6">
        <w:t>,</w:t>
      </w:r>
      <w:r w:rsidR="000F53F6">
        <w:rPr>
          <w:b/>
          <w:b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72821E43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1047DEB4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 xml:space="preserve">Претендент подтверждает, что ознакомился с документацией </w:t>
      </w:r>
      <w:r w:rsidR="00D8199E">
        <w:rPr>
          <w:color w:val="auto"/>
        </w:rPr>
        <w:t>по лоту</w:t>
      </w:r>
      <w:r w:rsidRPr="00984C19">
        <w:rPr>
          <w:color w:val="auto"/>
        </w:rPr>
        <w:t>. Претензи</w:t>
      </w:r>
      <w:r w:rsidR="00D8199E">
        <w:rPr>
          <w:color w:val="auto"/>
        </w:rPr>
        <w:t xml:space="preserve">й к </w:t>
      </w:r>
      <w:r w:rsidRPr="00984C19">
        <w:rPr>
          <w:color w:val="auto"/>
        </w:rPr>
        <w:t xml:space="preserve">документации </w:t>
      </w:r>
      <w:r w:rsidR="00D8199E">
        <w:rPr>
          <w:color w:val="auto"/>
        </w:rPr>
        <w:t>по лоту</w:t>
      </w:r>
      <w:r w:rsidRPr="00984C19">
        <w:rPr>
          <w:color w:val="auto"/>
        </w:rPr>
        <w:t xml:space="preserve">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669EF"/>
    <w:rsid w:val="001B4FC2"/>
    <w:rsid w:val="001D7D38"/>
    <w:rsid w:val="0049279D"/>
    <w:rsid w:val="0051134C"/>
    <w:rsid w:val="00557903"/>
    <w:rsid w:val="006263C3"/>
    <w:rsid w:val="00C737F0"/>
    <w:rsid w:val="00D8199E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2023-11-20T12:40:00Z</dcterms:created>
  <dcterms:modified xsi:type="dcterms:W3CDTF">2024-05-29T08:09:00Z</dcterms:modified>
</cp:coreProperties>
</file>