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Гилёв Алексей Игоревич (20.02.1995г.р., место рожд: гор. Нижний Тагил Свердловской обл., адрес рег: 622002, Свердловская обл, Нижний Тагил г, Фрунзе ул, дом № 37, квартира 48, СНИЛС15533464159, ИНН 662335089810, паспорт РФ серия 6514, номер 934138, выдан 11.03.2015, кем выдан Отделением УФМС России по Свердловской обл. в Тагилстроевском р-не г. Нижнего Тагила, код подразделения 660-015),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15.01.2024г. по делу №А60-64725/2023,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10.07.2024г. по продаже имущества Гилёва Алексея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32,7м², адрес (местонахождение): Свердловская область, г. Нижний Тагил, ул. Фрунзе, д. 37, кв. 48, кадастровый номер: 66:56:0208006:7995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10.07.2024г. на сайте https://lot-online.ru/, и указана в Протоколе  от 10.07.2024г.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Гилёва Алексея Игоревича 40817810150173486840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Гилёв Алексей Игоревич (20.02.1995г.р., место рожд: гор. Нижний Тагил Свердловской обл., адрес рег: 622002, Свердловская обл, Нижний Тагил г, Фрунзе ул, дом № 37, квартира 48, СНИЛС15533464159, ИНН 662335089810, паспорт РФ серия 6514, номер 934138, выдан 11.03.2015, кем выдан Отделением УФМС России по Свердловской обл. в Тагилстроевском р-не г. Нижнего Тагила, код подразделения 660-015)</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Гилёва Алексея Игоревича 40817810150173486840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Гилёва Алексея Игоревича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