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30.05.2024</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Тиньков Сергей Петрович (24.02.1987г.р., место рожд: дер. Кириллово Становлянского р-на Липецкой обл., адрес рег: 399713, Липецкая обл, Становлянский р-н, Баевка д, Речная ул, дом № 25, СНИЛС13693967818, ИНН 481400675026, паспорт РФ серия 4206, номер 340986, выдан 28.03.2007, кем выдан ОТДЕЛОМ ВНУТРЕННИХ ДЕЛ СТАНОВЛЯНСКОГО РАЙОНА ЛИПЕЦКОЙ ОБЛАСТИ, код подразделения 482-024),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24.04.2024г. по делу №А36-5274/2023,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08.07.2024 по продаже имущества  Тинькова Сергея Петровича,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ЛАДА-217230, модель: ЛАДА-217230, VIN: XTA21723090049812, год изготовления: 2008.</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63МТ682129, Свидетельства о регистрации ТС 4820133585.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2008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01.02.2024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Липецкая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1948414832/4818 от 01.02.2024, Коновалов Максим Юрьевич, СПИ: 42181000170803, ИП: 2835/24/48018-ИП от 26.01.2024</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+7(47476)2-28-29</w:t>
            </w:r>
          </w:p>
          <w:p>
            <w:pPr>
              <w:pStyle w:val="Normal"/>
              <w:bidi w:val="0"/>
              <w:spacing w:lineRule="auto" w:line="240" w:before="0" w:after="0"/>
              <w:jc w:val="both"/>
              <w:rPr>
                <w:rFonts w:ascii="Arial" w:hAnsi="Arial"/>
                <w:sz w:val="16"/>
              </w:rPr>
            </w:pPr>
            <w:r>
              <w:rPr>
                <w:rFonts w:ascii="Times New Roman" w:hAnsi="Times New Roman"/>
                <w:sz w:val="20"/>
                <w:szCs w:val="20"/>
              </w:rPr>
              <w:t>Ключ ГИБДД: 48#SP702124573</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2008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26.09.2023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Липецкая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1947057109/4818 от 26.09.2023, Коновалов Максим Юрьевич, СПИ: 42181000170803, ИП: 16812/23/48018-ИП от 22.09.2023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+7(47476)2-28-29</w:t>
            </w:r>
          </w:p>
          <w:p>
            <w:pPr>
              <w:pStyle w:val="Normal"/>
              <w:bidi w:val="0"/>
              <w:spacing w:lineRule="auto" w:line="240" w:before="0" w:after="0"/>
              <w:jc w:val="both"/>
              <w:rPr>
                <w:rFonts w:ascii="Arial" w:hAnsi="Arial"/>
                <w:sz w:val="16"/>
              </w:rPr>
            </w:pPr>
            <w:r>
              <w:rPr>
                <w:rFonts w:ascii="Times New Roman" w:hAnsi="Times New Roman"/>
                <w:sz w:val="20"/>
                <w:szCs w:val="20"/>
              </w:rPr>
              <w:t>Ключ ГИБДД: 48#SP668071377</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tab/>
              <w:tab/>
              <w:tab/>
              <w:tab/>
              <w:tab/>
              <w:tab/>
              <w:tab/>
              <w:tab/>
            </w:r>
          </w:p>
          <w:p>
            <w:pPr>
              <w:pStyle w:val="Normal"/>
              <w:bidi w:val="0"/>
              <w:spacing w:lineRule="auto" w:line="240" w:before="0" w:after="0"/>
              <w:jc w:val="both"/>
              <w:rPr>
                <w:rFonts w:ascii="Arial" w:hAnsi="Arial"/>
                <w:sz w:val="16"/>
              </w:rPr>
            </w:pPr>
            <w:r>
              <w:rPr>
                <w:rFonts w:ascii="Times New Roman" w:hAnsi="Times New Roman"/>
                <w:sz w:val="20"/>
                <w:szCs w:val="20"/>
              </w:rPr>
              <w:tab/>
              <w:tab/>
              <w:tab/>
              <w:tab/>
              <w:tab/>
              <w:tab/>
              <w:tab/>
              <w:tab/>
              <w:tab/>
              <w:tab/>
            </w:r>
          </w:p>
          <w:p>
            <w:pPr>
              <w:pStyle w:val="Normal"/>
              <w:bidi w:val="0"/>
              <w:spacing w:lineRule="auto" w:line="240" w:before="0" w:after="0"/>
              <w:jc w:val="both"/>
              <w:rPr>
                <w:rFonts w:ascii="Arial" w:hAnsi="Arial"/>
                <w:sz w:val="16"/>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08.07.2024г.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Тинькова Сергея Петровича 40817810050176177052,</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Тиньков Сергей Петрович (24.02.1987г.р., место рожд: дер. Кириллово Становлянского р-на Липецкой обл., адрес рег: 399713, Липецкая обл, Становлянский р-н, Баевка д, Речная ул, дом № 25, СНИЛС13693967818, ИНН 481400675026, паспорт РФ серия 4206, номер 340986, выдан 28.03.2007, кем выдан ОТДЕЛОМ ВНУТРЕННИХ ДЕЛ СТАНОВЛЯНСКОГО РАЙОНА ЛИПЕЦКОЙ ОБЛАСТИ, код подразделения 482-024)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Тинькова Сергея Петровича 40817810050176177052,</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Тинькова Сергея Петровича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1444</Words>
  <Characters>10284</Characters>
  <CharactersWithSpaces>11680</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2024-05-30T16:24:30Z</dcterms:modified>
  <cp:revision>1</cp:revision>
  <dc:subject/>
  <dc:title/>
</cp:coreProperties>
</file>