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341"/>
        <w:gridCol w:w="945"/>
        <w:gridCol w:w="945"/>
        <w:gridCol w:w="945"/>
        <w:gridCol w:w="945"/>
        <w:gridCol w:w="945"/>
      </w:tblGrid>
      <w:tr w:rsidR="00695A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791" w:type="dxa"/>
            <w:gridSpan w:val="11"/>
            <w:shd w:val="clear" w:color="FFFFFF" w:fill="auto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Мы, нижеподписавшиеся: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Шихбабаева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Рагиля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Исметовна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(Султанова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Рагиля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Исметовна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(04.06.1969г.р., 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п. Огни ДАССР ,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414004, Астраханская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Астрахань г, Бориса Алексеева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63, кв.29, </w:t>
            </w:r>
            <w:r>
              <w:rPr>
                <w:rFonts w:ascii="Times New Roman" w:hAnsi="Times New Roman"/>
                <w:sz w:val="20"/>
                <w:szCs w:val="20"/>
              </w:rPr>
              <w:t>СНИЛС06918757820, ИНН 052302220079, паспорт РФ серия 8214, номер 493726, выдан 29.06.2014, кем выдан ОУФМС РОССИИ ПО РЕСП. ДАГЕСТАН В МАГАРАМКЕНСКОМ РАЙОНЕ , код подразделения 050-034), в лице Гражданина РФ Финансового управляющего Королевой Евгении Леонид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овны (ИНН 744885201064, СНИЛС 17091825071,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22152), действующего на основании решения Арбитражного суда Астраханской области от 05.05.2022г. по делу №А06-12423/2021, именуемый в дальнейшем «Продавец», с одной стороны, и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 , именуемый </w:t>
            </w:r>
            <w:r>
              <w:rPr>
                <w:rFonts w:ascii="Times New Roman" w:hAnsi="Times New Roman"/>
                <w:sz w:val="20"/>
                <w:szCs w:val="20"/>
              </w:rPr>
              <w:t>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 В соответствии с Протоколом №  от 17.07.2024г. по продаже имущества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Шихбабаевой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Рагили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Исметовны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размеще</w:t>
            </w:r>
            <w:r>
              <w:rPr>
                <w:rFonts w:ascii="Times New Roman" w:hAnsi="Times New Roman"/>
                <w:sz w:val="20"/>
                <w:szCs w:val="20"/>
              </w:rPr>
              <w:t>нным на торговой площадке  АО "РАД" (https://lot-online.ru/)  (далее по тексту – "Протокол"), Продавец обязуется передать в собственность Покупателя, признанного Победителем указанных торгов, имущество, выигранное на этих торгах, а именно: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9791" w:type="dxa"/>
            <w:gridSpan w:val="11"/>
            <w:shd w:val="clear" w:color="FFFFFF" w:fill="FFFFFF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ЛОТ №1 -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площадь: 1 500м², адрес (местонахождение): Республика Дагестан,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Бильбиль-Казмаляр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категория земель: Земли сельскохозяйственного назначения, разрешенное использование: Для ведения личного подсобного хозяйства, када</w:t>
            </w:r>
            <w:r>
              <w:rPr>
                <w:rFonts w:ascii="Times New Roman" w:hAnsi="Times New Roman"/>
                <w:sz w:val="20"/>
                <w:szCs w:val="20"/>
              </w:rPr>
              <w:t>стровый номер: 05:10:000034:198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 зарегистрировано в установленном законом порядке (далее по тексту - «Имущество»).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На момент составления Договора купли-продажи на вышеуказанном имуществе обременения/ограничения отсутствуют.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Обязанности Сторон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Продавец обязуется: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 Передать Покупателю имущество по акту приема-передачи.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 Передать Покупателю по акту приема-передачи, все необходимые документы для регистрации перехода права собственности на выигранное на открыты</w:t>
            </w:r>
            <w:r>
              <w:rPr>
                <w:rFonts w:ascii="Times New Roman" w:hAnsi="Times New Roman"/>
                <w:sz w:val="20"/>
                <w:szCs w:val="20"/>
              </w:rPr>
              <w:t>х торгах имущество,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Покупатель обязан: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 Оплатить полную стоимость имущества в соответствии с настоящим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договором.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Стоимость имущества </w:t>
            </w:r>
            <w:r>
              <w:rPr>
                <w:rFonts w:ascii="Times New Roman" w:hAnsi="Times New Roman"/>
                <w:sz w:val="20"/>
                <w:szCs w:val="20"/>
              </w:rPr>
              <w:t>составляет: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</w:t>
            </w:r>
            <w:r>
              <w:rPr>
                <w:rFonts w:ascii="Times New Roman" w:hAnsi="Times New Roman"/>
                <w:sz w:val="20"/>
                <w:szCs w:val="20"/>
              </w:rPr>
              <w:t>влена по результатам проведения торгов, которые проводились 17.07.2024г. на сайте https://lot-online.ru/, и указана в Протоколе  от 17.07.2024г. является окончательной и изменению не подлежит.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Расходы по переходу права собственности и иные, не </w:t>
            </w:r>
            <w:r>
              <w:rPr>
                <w:rFonts w:ascii="Times New Roman" w:hAnsi="Times New Roman"/>
                <w:sz w:val="20"/>
                <w:szCs w:val="20"/>
              </w:rPr>
              <w:t>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Оплата стоимости имущества по настоящему договору осуществляется Покупателем безналичным платежом на расчетный счет:</w:t>
            </w:r>
          </w:p>
        </w:tc>
      </w:tr>
      <w:tr w:rsidR="00695AA5" w:rsidTr="002072F8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2072F8" w:rsidRPr="002072F8" w:rsidRDefault="002072F8" w:rsidP="00207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072F8">
              <w:rPr>
                <w:rFonts w:ascii="Times New Roman" w:eastAsia="Times New Roman" w:hAnsi="Times New Roman" w:cs="Times New Roman"/>
                <w:color w:val="000000"/>
              </w:rPr>
              <w:t>Получатель: Арбитражный управляющий Королева Евгения Леонидовна</w:t>
            </w:r>
          </w:p>
          <w:p w:rsidR="002072F8" w:rsidRPr="002072F8" w:rsidRDefault="002072F8" w:rsidP="00207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072F8">
              <w:rPr>
                <w:rFonts w:ascii="Times New Roman" w:eastAsia="Times New Roman" w:hAnsi="Times New Roman" w:cs="Times New Roman"/>
                <w:color w:val="000000"/>
              </w:rPr>
              <w:t>ИНН 744885201064</w:t>
            </w:r>
          </w:p>
          <w:p w:rsidR="002072F8" w:rsidRPr="002072F8" w:rsidRDefault="002072F8" w:rsidP="00207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072F8">
              <w:rPr>
                <w:rFonts w:ascii="Times New Roman" w:eastAsia="Times New Roman" w:hAnsi="Times New Roman" w:cs="Times New Roman"/>
                <w:color w:val="000000"/>
              </w:rPr>
              <w:t>Р/С 40802810038460001039</w:t>
            </w:r>
          </w:p>
          <w:p w:rsidR="002072F8" w:rsidRPr="002072F8" w:rsidRDefault="002072F8" w:rsidP="00207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072F8">
              <w:rPr>
                <w:rFonts w:ascii="Times New Roman" w:eastAsia="Times New Roman" w:hAnsi="Times New Roman" w:cs="Times New Roman"/>
                <w:color w:val="000000"/>
              </w:rPr>
              <w:t>БИК 046577964</w:t>
            </w:r>
          </w:p>
          <w:p w:rsidR="002072F8" w:rsidRPr="002072F8" w:rsidRDefault="002072F8" w:rsidP="00207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072F8">
              <w:rPr>
                <w:rFonts w:ascii="Times New Roman" w:eastAsia="Times New Roman" w:hAnsi="Times New Roman" w:cs="Times New Roman"/>
                <w:color w:val="000000"/>
              </w:rPr>
              <w:t>К/С 30101810100000000964</w:t>
            </w:r>
          </w:p>
          <w:p w:rsidR="002072F8" w:rsidRPr="002072F8" w:rsidRDefault="002072F8" w:rsidP="00207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072F8">
              <w:rPr>
                <w:rFonts w:ascii="Times New Roman" w:eastAsia="Times New Roman" w:hAnsi="Times New Roman" w:cs="Times New Roman"/>
                <w:color w:val="000000"/>
              </w:rPr>
              <w:t xml:space="preserve">Банк ФИЛИАЛ "ЕКАТЕРИНБУРГСКИЙ" АО "АЛЬФА-БАНК" </w:t>
            </w:r>
          </w:p>
          <w:p w:rsidR="00695AA5" w:rsidRDefault="00695A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72F8" w:rsidRDefault="002072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</w:t>
            </w:r>
            <w:r>
              <w:rPr>
                <w:rFonts w:ascii="Times New Roman" w:hAnsi="Times New Roman"/>
                <w:sz w:val="20"/>
                <w:szCs w:val="20"/>
              </w:rPr>
              <w:t>Продавца для их дальнейшего зачисления на счет Продавца.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Передача имущества и переход риска случайной гибели имущества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 Продавец в течение 30 (тридцати) рабочих дней со дня исполнения Покупателем всех своих обязательств, предусмотренных настоящим </w:t>
            </w:r>
            <w:r>
              <w:rPr>
                <w:rFonts w:ascii="Times New Roman" w:hAnsi="Times New Roman"/>
                <w:sz w:val="20"/>
                <w:szCs w:val="20"/>
              </w:rPr>
              <w:t>договором, обязан передать Покупателю имущество. Передача имущества осуществляется посредством подписания Сторонами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4.2. Стороны договора </w:t>
            </w:r>
            <w:r>
              <w:rPr>
                <w:rFonts w:ascii="Times New Roman" w:hAnsi="Times New Roman"/>
                <w:sz w:val="20"/>
                <w:szCs w:val="20"/>
              </w:rPr>
              <w:t>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 и за свой счет.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4.3. Имущество, </w:t>
            </w:r>
            <w:r>
              <w:rPr>
                <w:rFonts w:ascii="Times New Roman" w:hAnsi="Times New Roman"/>
                <w:sz w:val="20"/>
                <w:szCs w:val="20"/>
              </w:rPr>
              <w:t>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гибели или случайного повреждения имущества, переданног</w:t>
            </w:r>
            <w:r>
              <w:rPr>
                <w:rFonts w:ascii="Times New Roman" w:hAnsi="Times New Roman"/>
                <w:sz w:val="20"/>
                <w:szCs w:val="20"/>
              </w:rPr>
              <w:t>о Покупателю.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 Право собственности на имущество переходит от Продавца к Покупателю в момент государственной регистрации права собственности.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Ответственность Сторон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 Любая из Сторон настоящего договора,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 Отсутствие вины за неисполнение или ненадлежащее исполнение обязательств по договору док</w:t>
            </w:r>
            <w:r>
              <w:rPr>
                <w:rFonts w:ascii="Times New Roman" w:hAnsi="Times New Roman"/>
                <w:sz w:val="20"/>
                <w:szCs w:val="20"/>
              </w:rPr>
              <w:t>азывается Стороной, нарушившей обязательства.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</w:t>
            </w:r>
            <w:r>
              <w:rPr>
                <w:rFonts w:ascii="Times New Roman" w:hAnsi="Times New Roman"/>
                <w:sz w:val="20"/>
                <w:szCs w:val="20"/>
              </w:rPr>
              <w:t>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</w:t>
            </w:r>
            <w:r>
              <w:rPr>
                <w:rFonts w:ascii="Times New Roman" w:hAnsi="Times New Roman"/>
                <w:sz w:val="20"/>
                <w:szCs w:val="20"/>
              </w:rPr>
              <w:t>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</w:t>
            </w:r>
            <w:r>
              <w:rPr>
                <w:rFonts w:ascii="Times New Roman" w:hAnsi="Times New Roman"/>
                <w:sz w:val="20"/>
                <w:szCs w:val="20"/>
              </w:rPr>
              <w:t>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7. Порядок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разрешения споров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 Расторжение настоящего договора осуще</w:t>
            </w:r>
            <w:r>
              <w:rPr>
                <w:rFonts w:ascii="Times New Roman" w:hAnsi="Times New Roman"/>
                <w:sz w:val="20"/>
                <w:szCs w:val="20"/>
              </w:rPr>
              <w:t>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8.2. Если покупатель в нарушение договора купли-продажи отказывается принять и оплатить товар, продавец вправе по своему выбору потребовать </w:t>
            </w:r>
            <w:r>
              <w:rPr>
                <w:rFonts w:ascii="Times New Roman" w:hAnsi="Times New Roman"/>
                <w:sz w:val="20"/>
                <w:szCs w:val="20"/>
              </w:rPr>
              <w:t>оплаты товара либо отказаться от исполнения договора.  (п. 4 ст. 486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8.3. Право на односторонний отказ от договора (исполнения договора) (статья 310 Гражданского Кодекса Российской Федерации) может быть осущест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управомоченной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</w:t>
            </w:r>
            <w:r>
              <w:rPr>
                <w:rFonts w:ascii="Times New Roman" w:hAnsi="Times New Roman"/>
                <w:sz w:val="20"/>
                <w:szCs w:val="20"/>
              </w:rPr>
              <w:t>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1, 2 Статья 450.1.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Заключительные положения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 Сторонами договора рассмотрены все документы, подготовленные в свя</w:t>
            </w:r>
            <w:r>
              <w:rPr>
                <w:rFonts w:ascii="Times New Roman" w:hAnsi="Times New Roman"/>
                <w:sz w:val="20"/>
                <w:szCs w:val="20"/>
              </w:rPr>
              <w:t>зи с продажей имущества.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9.3. Настоящий Договор составлен в 2-х экземплярах, имеющих одинаковую юридическую силу.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9.4. По всем вопросам, не нашедшим решения в условиях настоящего договора, но прямо или косвенно вытекающим из отношений Сторон по нему, </w:t>
            </w:r>
            <w:r>
              <w:rPr>
                <w:rFonts w:ascii="Times New Roman" w:hAnsi="Times New Roman"/>
                <w:sz w:val="20"/>
                <w:szCs w:val="20"/>
              </w:rPr>
              <w:t>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</w:t>
            </w:r>
            <w:r>
              <w:rPr>
                <w:rFonts w:ascii="Times New Roman" w:hAnsi="Times New Roman"/>
                <w:sz w:val="20"/>
                <w:szCs w:val="20"/>
              </w:rPr>
              <w:t>ьства Российской Федерации.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9791" w:type="dxa"/>
            <w:gridSpan w:val="11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066" w:type="dxa"/>
            <w:gridSpan w:val="6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4725" w:type="dxa"/>
            <w:gridSpan w:val="5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066" w:type="dxa"/>
            <w:gridSpan w:val="6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4725" w:type="dxa"/>
            <w:gridSpan w:val="5"/>
            <w:shd w:val="clear" w:color="FFFFFF" w:fill="auto"/>
            <w:vAlign w:val="bottom"/>
          </w:tcPr>
          <w:p w:rsidR="00695AA5" w:rsidRDefault="00B730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217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Шихбабаева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Рагиля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Исметовна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(Султанова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Рагиля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Исметовна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(04.06.1969г.р., место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п. Огни ДАССР , адрес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414004, Астраханская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Астрахань г, Бориса Алексеева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д. 63, кв.29, СНИЛС06918757820, ИНН 052302220079, паспорт РФ серия 8214, номер 493726, выдан 29.06.2014, кем выдан ОУФМС РОССИИ ПО РЕСП. ДАГЕСТАН В МАГАРАМКЕНСКОМ РАЙОНЕ , код подразделения 050-034)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vMerge w:val="restart"/>
            <w:shd w:val="clear" w:color="FFFFFF" w:fill="auto"/>
          </w:tcPr>
          <w:p w:rsidR="00695AA5" w:rsidRDefault="00695A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vMerge/>
            <w:shd w:val="clear" w:color="FFFFFF" w:fill="auto"/>
          </w:tcPr>
          <w:p w:rsidR="00695AA5" w:rsidRDefault="00695A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AA5" w:rsidTr="002072F8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2072F8" w:rsidRPr="002072F8" w:rsidRDefault="002072F8" w:rsidP="00207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072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Получатель: Арбитражный управляющий Королева Евгения Леонидовна</w:t>
            </w:r>
          </w:p>
          <w:p w:rsidR="002072F8" w:rsidRPr="002072F8" w:rsidRDefault="002072F8" w:rsidP="00207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072F8">
              <w:rPr>
                <w:rFonts w:ascii="Times New Roman" w:eastAsia="Times New Roman" w:hAnsi="Times New Roman" w:cs="Times New Roman"/>
                <w:color w:val="000000"/>
              </w:rPr>
              <w:t>ИНН 744885201064</w:t>
            </w:r>
          </w:p>
          <w:p w:rsidR="002072F8" w:rsidRPr="002072F8" w:rsidRDefault="002072F8" w:rsidP="00207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072F8">
              <w:rPr>
                <w:rFonts w:ascii="Times New Roman" w:eastAsia="Times New Roman" w:hAnsi="Times New Roman" w:cs="Times New Roman"/>
                <w:color w:val="000000"/>
              </w:rPr>
              <w:t>Р/С 40802810038460001039</w:t>
            </w:r>
          </w:p>
          <w:p w:rsidR="002072F8" w:rsidRPr="002072F8" w:rsidRDefault="002072F8" w:rsidP="00207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072F8">
              <w:rPr>
                <w:rFonts w:ascii="Times New Roman" w:eastAsia="Times New Roman" w:hAnsi="Times New Roman" w:cs="Times New Roman"/>
                <w:color w:val="000000"/>
              </w:rPr>
              <w:t>БИК 046577964</w:t>
            </w:r>
          </w:p>
          <w:p w:rsidR="002072F8" w:rsidRPr="002072F8" w:rsidRDefault="002072F8" w:rsidP="00207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072F8">
              <w:rPr>
                <w:rFonts w:ascii="Times New Roman" w:eastAsia="Times New Roman" w:hAnsi="Times New Roman" w:cs="Times New Roman"/>
                <w:color w:val="000000"/>
              </w:rPr>
              <w:t>К/С 30101810100000000964</w:t>
            </w:r>
          </w:p>
          <w:p w:rsidR="002072F8" w:rsidRPr="002072F8" w:rsidRDefault="002072F8" w:rsidP="00207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072F8">
              <w:rPr>
                <w:rFonts w:ascii="Times New Roman" w:eastAsia="Times New Roman" w:hAnsi="Times New Roman" w:cs="Times New Roman"/>
                <w:color w:val="000000"/>
              </w:rPr>
              <w:t xml:space="preserve">Банк ФИЛИАЛ "ЕКАТЕРИНБУРГСКИЙ" АО "АЛЬФА-БАНК" </w:t>
            </w:r>
          </w:p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2F8" w:rsidRDefault="002072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vMerge/>
            <w:shd w:val="clear" w:color="FFFFFF" w:fill="auto"/>
          </w:tcPr>
          <w:p w:rsidR="00695AA5" w:rsidRDefault="00695A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vMerge/>
            <w:shd w:val="clear" w:color="FFFFFF" w:fill="auto"/>
          </w:tcPr>
          <w:p w:rsidR="00695AA5" w:rsidRDefault="00695A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vMerge/>
            <w:shd w:val="clear" w:color="FFFFFF" w:fill="auto"/>
          </w:tcPr>
          <w:p w:rsidR="00695AA5" w:rsidRDefault="00695A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66" w:type="dxa"/>
            <w:gridSpan w:val="6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Шихбабаевой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Рагили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Исметовны</w:t>
            </w:r>
            <w:proofErr w:type="spellEnd"/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95AA5" w:rsidRDefault="00695AA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95A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66" w:type="dxa"/>
            <w:gridSpan w:val="6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Леонидовна__________________</w:t>
            </w:r>
          </w:p>
        </w:tc>
        <w:tc>
          <w:tcPr>
            <w:tcW w:w="4725" w:type="dxa"/>
            <w:gridSpan w:val="5"/>
            <w:shd w:val="clear" w:color="FFFFFF" w:fill="auto"/>
            <w:vAlign w:val="bottom"/>
          </w:tcPr>
          <w:p w:rsidR="00695AA5" w:rsidRDefault="00B730E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</w:p>
        </w:tc>
      </w:tr>
    </w:tbl>
    <w:p w:rsidR="00B730EC" w:rsidRDefault="00B730EC"/>
    <w:sectPr w:rsidR="00B730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AA5"/>
    <w:rsid w:val="002072F8"/>
    <w:rsid w:val="00695AA5"/>
    <w:rsid w:val="00B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Соболева</cp:lastModifiedBy>
  <cp:revision>3</cp:revision>
  <dcterms:created xsi:type="dcterms:W3CDTF">2024-06-07T11:56:00Z</dcterms:created>
  <dcterms:modified xsi:type="dcterms:W3CDTF">2024-06-07T11:57:00Z</dcterms:modified>
</cp:coreProperties>
</file>