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CB0B" w14:textId="77777777" w:rsidR="00775DFE" w:rsidRDefault="00D659A0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309460A1" w14:textId="77777777" w:rsidR="00775DFE" w:rsidRDefault="00D659A0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474BCF3D" w14:textId="77777777" w:rsidR="00775DFE" w:rsidRDefault="00775DFE">
      <w:pPr>
        <w:jc w:val="both"/>
        <w:rPr>
          <w:rFonts w:ascii="Times New Roman" w:hAnsi="Times New Roman"/>
        </w:rPr>
      </w:pPr>
    </w:p>
    <w:p w14:paraId="425A2D54" w14:textId="77777777" w:rsidR="00775DFE" w:rsidRDefault="00D659A0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юр. лица, либо ФИО, номер и дата выдачи паспорта  физ. лица, </w:t>
      </w:r>
      <w:r>
        <w:rPr>
          <w:rFonts w:ascii="Times New Roman" w:hAnsi="Times New Roman" w:cs="Times New Roman"/>
          <w:i/>
          <w:sz w:val="22"/>
          <w:szCs w:val="22"/>
        </w:rPr>
        <w:t>подающего заявку)</w:t>
      </w:r>
    </w:p>
    <w:p w14:paraId="1889C503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857C13A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599CD6AA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0E416B0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79476375" w14:textId="77777777" w:rsidR="00775DFE" w:rsidRDefault="00D659A0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42BF73B8" w14:textId="77777777" w:rsidR="00775DFE" w:rsidRDefault="00D659A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45C72931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484245B" w14:textId="77777777" w:rsidR="00775DFE" w:rsidRDefault="00D659A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5C736B95" w14:textId="77777777" w:rsidR="00775DFE" w:rsidRDefault="00775DFE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2F319A1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32B21E9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8C0BB1E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4D72EB6" w14:textId="77777777" w:rsidR="00775DFE" w:rsidRDefault="00775DFE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E27DA86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9F741CA" w14:textId="77777777" w:rsidR="00775DFE" w:rsidRDefault="00775DFE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DA3A691" w14:textId="77777777" w:rsidR="00775DFE" w:rsidRDefault="00D659A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6A39EDC0" w14:textId="77777777" w:rsidR="00775DFE" w:rsidRDefault="00775DFE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B62E03A" w14:textId="77777777" w:rsidR="00775DFE" w:rsidRDefault="00D659A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B40E61E" w14:textId="77777777" w:rsidR="00775DFE" w:rsidRDefault="00775DFE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C8C697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телефон __________________, адрес электронной почты 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787789CF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CEECD40" w14:textId="77777777" w:rsidR="00775DFE" w:rsidRDefault="00D659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«14» августа 2024 года по продаже:                       </w:t>
      </w:r>
    </w:p>
    <w:p w14:paraId="1044DE41" w14:textId="77777777" w:rsidR="00775DFE" w:rsidRDefault="00D659A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3D0F1A76" w14:textId="5E1CBF88" w:rsidR="00775DFE" w:rsidRDefault="00D659A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Объект 1: </w:t>
      </w:r>
      <w:r>
        <w:rPr>
          <w:rFonts w:ascii="Times New Roman" w:hAnsi="Times New Roman"/>
          <w:b/>
          <w:bCs/>
          <w:color w:val="000000"/>
        </w:rPr>
        <w:t>Земельный участок</w:t>
      </w:r>
      <w:r>
        <w:rPr>
          <w:rFonts w:ascii="Times New Roman" w:hAnsi="Times New Roman"/>
          <w:color w:val="000000"/>
        </w:rPr>
        <w:t xml:space="preserve"> с кадастровым номером 50:25:0060105:62, общей площадью 750 (семьсот пятьдесят) кв.м, категория земель: земли населенных пунктов, виды разрешенного использования: под гостиницу со встроенными помещениями, ателье по пошиву - магазин, местоположение установлено относительно ориентира, расположенного в границах участка, почтовый адрес ориентира: Московская область, Шатурский р-н, городское поселение Шатура, п. Шатурторф, ул. Интернациональная, дом 4</w:t>
      </w:r>
      <w:r>
        <w:rPr>
          <w:rFonts w:ascii="Times New Roman" w:hAnsi="Times New Roman"/>
          <w:color w:val="000000"/>
        </w:rPr>
        <w:t>. Обременения (ограничения) Объекта: не зарегистрированы.</w:t>
      </w:r>
    </w:p>
    <w:p w14:paraId="0776F936" w14:textId="77777777" w:rsidR="00775DFE" w:rsidRDefault="00775DFE">
      <w:pPr>
        <w:widowControl w:val="0"/>
        <w:jc w:val="both"/>
        <w:rPr>
          <w:rFonts w:ascii="Times New Roman" w:hAnsi="Times New Roman"/>
          <w:color w:val="000000"/>
        </w:rPr>
      </w:pPr>
    </w:p>
    <w:p w14:paraId="7A434602" w14:textId="0FECB194" w:rsidR="00775DFE" w:rsidRDefault="00D659A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Объект 2: </w:t>
      </w:r>
      <w:r>
        <w:rPr>
          <w:rFonts w:ascii="Times New Roman" w:hAnsi="Times New Roman"/>
          <w:b/>
          <w:bCs/>
          <w:color w:val="000000"/>
        </w:rPr>
        <w:t>Здание</w:t>
      </w:r>
      <w:r>
        <w:rPr>
          <w:rFonts w:ascii="Times New Roman" w:hAnsi="Times New Roman"/>
          <w:color w:val="000000"/>
        </w:rPr>
        <w:t xml:space="preserve"> с кадастровым номером 50:25:0060105, общей площадью 710,6 (семьсот десять целых 5/10) кв.м, назначение: нежилое, наименование: основное строение, количество этажей в том числе подземных этажей: 2, в том числе подземных 0, расположенное по адресу: Московская область, Шатурский р-н, п. Шатурторф, ул. Интернациональная, дом 4</w:t>
      </w:r>
      <w:r>
        <w:rPr>
          <w:rFonts w:ascii="Times New Roman" w:hAnsi="Times New Roman"/>
          <w:color w:val="000000"/>
        </w:rPr>
        <w:t xml:space="preserve">.  Обременения (ограничения) Объекта: не зарегистрированы. </w:t>
      </w:r>
    </w:p>
    <w:p w14:paraId="01E1C02E" w14:textId="77777777" w:rsidR="00775DFE" w:rsidRDefault="00D659A0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Объекты), обязуюсь:</w:t>
      </w:r>
    </w:p>
    <w:p w14:paraId="4C964528" w14:textId="77777777" w:rsidR="00775DFE" w:rsidRDefault="00D659A0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3BE7DBF6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48EE4156" w14:textId="77777777" w:rsidR="00775DFE" w:rsidRDefault="00D659A0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Объектов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774D5954" w14:textId="77777777" w:rsidR="00775DFE" w:rsidRDefault="00D659A0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Объектов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6D68EA97" w14:textId="77777777" w:rsidR="00775DFE" w:rsidRDefault="00775DFE">
      <w:pPr>
        <w:overflowPunct w:val="0"/>
        <w:jc w:val="both"/>
        <w:rPr>
          <w:rFonts w:ascii="Times New Roman" w:hAnsi="Times New Roman"/>
          <w:b/>
        </w:rPr>
      </w:pPr>
    </w:p>
    <w:p w14:paraId="6CFCA574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3364440F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3.1. Задаток подлежит перечислению Претендентом на счет Оператора электронной площадки в соответствии с </w:t>
      </w:r>
      <w:r>
        <w:rPr>
          <w:rFonts w:ascii="Times New Roman" w:hAnsi="Times New Roman"/>
        </w:rPr>
        <w:t>условиями, установленными в информационном сообщении.</w:t>
      </w:r>
    </w:p>
    <w:p w14:paraId="2893C31A" w14:textId="77777777" w:rsidR="00775DFE" w:rsidRDefault="00D659A0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Объектов. </w:t>
      </w:r>
    </w:p>
    <w:p w14:paraId="47B07325" w14:textId="77777777" w:rsidR="00775DFE" w:rsidRDefault="00775DFE">
      <w:pPr>
        <w:overflowPunct w:val="0"/>
        <w:jc w:val="both"/>
        <w:rPr>
          <w:rFonts w:ascii="Times New Roman" w:hAnsi="Times New Roman"/>
          <w:b/>
        </w:rPr>
      </w:pPr>
    </w:p>
    <w:p w14:paraId="573E1CD8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04E57279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716543ED" w14:textId="77777777" w:rsidR="00775DFE" w:rsidRDefault="00D659A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Объектов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</w:t>
      </w:r>
      <w:r>
        <w:rPr>
          <w:rFonts w:ascii="Times New Roman" w:hAnsi="Times New Roman"/>
        </w:rPr>
        <w:t>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54EBCF3C" w14:textId="77777777" w:rsidR="00775DFE" w:rsidRDefault="00775DFE">
      <w:pPr>
        <w:ind w:left="-15" w:right="60"/>
        <w:jc w:val="both"/>
        <w:rPr>
          <w:rFonts w:ascii="Times New Roman" w:hAnsi="Times New Roman"/>
          <w:b/>
        </w:rPr>
      </w:pPr>
    </w:p>
    <w:p w14:paraId="757A1F9D" w14:textId="77777777" w:rsidR="00775DFE" w:rsidRDefault="00D659A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Объектов. Заключение д</w:t>
      </w:r>
      <w:r>
        <w:rPr>
          <w:rFonts w:ascii="Times New Roman" w:hAnsi="Times New Roman"/>
        </w:rPr>
        <w:t xml:space="preserve">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691BBCAC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68220F63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7DB5414C" w14:textId="77777777" w:rsidR="00775DFE" w:rsidRDefault="00775DFE">
      <w:pPr>
        <w:overflowPunct w:val="0"/>
        <w:rPr>
          <w:rFonts w:ascii="Times New Roman" w:hAnsi="Times New Roman"/>
        </w:rPr>
      </w:pPr>
    </w:p>
    <w:p w14:paraId="2D96F5E0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13635032" w14:textId="77777777" w:rsidR="00775DFE" w:rsidRDefault="00D659A0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64083C05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2AF36BF3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578124D7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106F2499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12DBC8EB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14B78FDA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775DFE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2A1D" w14:textId="77777777" w:rsidR="00D659A0" w:rsidRDefault="00D659A0">
      <w:r>
        <w:separator/>
      </w:r>
    </w:p>
  </w:endnote>
  <w:endnote w:type="continuationSeparator" w:id="0">
    <w:p w14:paraId="2EBCEFC5" w14:textId="77777777" w:rsidR="00D659A0" w:rsidRDefault="00D6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50662"/>
      <w:docPartObj>
        <w:docPartGallery w:val="Page Numbers (Bottom of Page)"/>
        <w:docPartUnique/>
      </w:docPartObj>
    </w:sdtPr>
    <w:sdtEndPr/>
    <w:sdtContent>
      <w:p w14:paraId="4293BAE5" w14:textId="77777777" w:rsidR="00775DFE" w:rsidRDefault="00D659A0">
        <w:pPr>
          <w:pStyle w:val="af1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875B683" w14:textId="77777777" w:rsidR="00775DFE" w:rsidRDefault="00775DF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BF7E9" w14:textId="77777777" w:rsidR="00775DFE" w:rsidRDefault="00D659A0">
      <w:pPr>
        <w:rPr>
          <w:sz w:val="12"/>
        </w:rPr>
      </w:pPr>
      <w:r>
        <w:separator/>
      </w:r>
    </w:p>
  </w:footnote>
  <w:footnote w:type="continuationSeparator" w:id="0">
    <w:p w14:paraId="4A6C4034" w14:textId="77777777" w:rsidR="00775DFE" w:rsidRDefault="00D659A0">
      <w:pPr>
        <w:rPr>
          <w:sz w:val="12"/>
        </w:rPr>
      </w:pPr>
      <w:r>
        <w:continuationSeparator/>
      </w:r>
    </w:p>
  </w:footnote>
  <w:footnote w:id="1">
    <w:p w14:paraId="7AD0EB1D" w14:textId="77777777" w:rsidR="00775DFE" w:rsidRDefault="00D659A0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3BD8A921" w14:textId="77777777" w:rsidR="00775DFE" w:rsidRDefault="00D659A0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FE"/>
    <w:rsid w:val="00775DFE"/>
    <w:rsid w:val="00B27DDB"/>
    <w:rsid w:val="00D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650C"/>
  <w15:docId w15:val="{645C71E3-D1A9-48AF-9BDE-014493C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F752F3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F752F3"/>
    <w:rPr>
      <w:rFonts w:ascii="Calibri" w:eastAsia="Calibri" w:hAnsi="Calibri" w:cs="Times New Roman"/>
    </w:rPr>
  </w:style>
  <w:style w:type="character" w:customStyle="1" w:styleId="af2">
    <w:name w:val="Символ сноски"/>
    <w:qFormat/>
  </w:style>
  <w:style w:type="character" w:styleId="af3">
    <w:name w:val="line number"/>
  </w:style>
  <w:style w:type="character" w:styleId="af4">
    <w:name w:val="endnote reference"/>
    <w:rPr>
      <w:vertAlign w:val="superscript"/>
    </w:rPr>
  </w:style>
  <w:style w:type="character" w:customStyle="1" w:styleId="af5">
    <w:name w:val="Символ концевой сноски"/>
    <w:qFormat/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fb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d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e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F752F3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unhideWhenUsed/>
    <w:rsid w:val="00F752F3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D659A0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900</Words>
  <Characters>5136</Characters>
  <Application>Microsoft Office Word</Application>
  <DocSecurity>4</DocSecurity>
  <Lines>42</Lines>
  <Paragraphs>12</Paragraphs>
  <ScaleCrop>false</ScaleCrop>
  <Company>Hewlett-Packard Company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2</cp:revision>
  <cp:lastPrinted>2022-09-26T09:16:00Z</cp:lastPrinted>
  <dcterms:created xsi:type="dcterms:W3CDTF">2024-06-10T14:58:00Z</dcterms:created>
  <dcterms:modified xsi:type="dcterms:W3CDTF">2024-06-10T14:58:00Z</dcterms:modified>
  <dc:language>ru-RU</dc:language>
</cp:coreProperties>
</file>